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0</w:t>
      </w:r>
      <w:r w:rsidR="00DB7A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7AE3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="00DB7AE3">
        <w:rPr>
          <w:sz w:val="28"/>
          <w:szCs w:val="28"/>
        </w:rPr>
        <w:t>1172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DB7A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</w:t>
      </w:r>
      <w:r w:rsidR="00DB7AE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DB7AE3">
        <w:rPr>
          <w:rFonts w:ascii="Times New Roman" w:hAnsi="Times New Roman"/>
          <w:sz w:val="28"/>
          <w:szCs w:val="28"/>
        </w:rPr>
        <w:t>1172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B7AE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8B1C11" w:rsidRDefault="008B1C11" w:rsidP="0050488F">
      <w:pPr>
        <w:jc w:val="both"/>
        <w:rPr>
          <w:sz w:val="28"/>
          <w:szCs w:val="28"/>
        </w:rPr>
      </w:pP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361F64" w:rsidP="00361F64">
      <w:pPr>
        <w:rPr>
          <w:sz w:val="22"/>
          <w:szCs w:val="22"/>
        </w:rPr>
      </w:pPr>
    </w:p>
    <w:p w:rsidR="005118C1" w:rsidRPr="005B5719" w:rsidRDefault="005B5719" w:rsidP="00741E99">
      <w:pPr>
        <w:pStyle w:val="afa"/>
        <w:rPr>
          <w:sz w:val="24"/>
          <w:szCs w:val="24"/>
        </w:rPr>
      </w:pPr>
      <w:r w:rsidRPr="005B5719">
        <w:t>Директ</w:t>
      </w:r>
      <w:r w:rsidR="00BA4F54">
        <w:t>ор МБУ г.Новошахтинска «МФЦ»</w:t>
      </w:r>
      <w:r w:rsidR="00BA4F54">
        <w:tab/>
      </w:r>
      <w:r w:rsidR="00BA4F54">
        <w:tab/>
      </w:r>
      <w:r w:rsidR="00BA4F54">
        <w:tab/>
      </w:r>
      <w:r w:rsidRPr="005B5719">
        <w:tab/>
      </w:r>
      <w:r w:rsidRPr="005B5719">
        <w:tab/>
      </w:r>
      <w:r w:rsidRPr="005B5719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DB7AE3">
        <w:rPr>
          <w:rFonts w:ascii="Times New Roman" w:hAnsi="Times New Roman"/>
          <w:sz w:val="28"/>
          <w:szCs w:val="28"/>
        </w:rPr>
        <w:t>0</w:t>
      </w:r>
      <w:r w:rsidRPr="008B1C11">
        <w:rPr>
          <w:rFonts w:ascii="Times New Roman" w:hAnsi="Times New Roman"/>
          <w:sz w:val="28"/>
          <w:szCs w:val="28"/>
        </w:rPr>
        <w:t>2.</w:t>
      </w:r>
      <w:r w:rsidR="00DB7AE3">
        <w:rPr>
          <w:rFonts w:ascii="Times New Roman" w:hAnsi="Times New Roman"/>
          <w:sz w:val="28"/>
          <w:szCs w:val="28"/>
        </w:rPr>
        <w:t>12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B7AE3">
        <w:rPr>
          <w:rFonts w:ascii="Times New Roman" w:hAnsi="Times New Roman"/>
          <w:sz w:val="28"/>
          <w:szCs w:val="28"/>
        </w:rPr>
        <w:t>1172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B7AE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8B1C11" w:rsidRDefault="008B1C11" w:rsidP="005118C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62A82" w:rsidRPr="00B15564" w:rsidRDefault="00662A82" w:rsidP="00662A8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62A82" w:rsidRPr="003B7653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62A82" w:rsidRPr="004A67BA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62A82" w:rsidRDefault="00662A82" w:rsidP="00662A8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5 пункта 9 слова «в Едином государственном реестре прав (ЕГРП) заменить словами «в Едином государственном реестре недвижимости (ЕГРН)»;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7) пункт 9.2. изложить в следующей редакции</w:t>
      </w:r>
      <w:r>
        <w:rPr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представляет заявление и пакет документов одним из следующих способов: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8)  пункт 10.2. изложить в следующей редакции: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313"/>
        <w:gridCol w:w="2606"/>
      </w:tblGrid>
      <w:tr w:rsidR="00662A82" w:rsidTr="003952D1">
        <w:tc>
          <w:tcPr>
            <w:tcW w:w="817" w:type="dxa"/>
          </w:tcPr>
          <w:p w:rsidR="00662A82" w:rsidRPr="00662A82" w:rsidRDefault="00662A82" w:rsidP="00662A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62A82" w:rsidRPr="00662A82" w:rsidRDefault="00662A82" w:rsidP="00662A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313" w:type="dxa"/>
          </w:tcPr>
          <w:p w:rsidR="00662A82" w:rsidRPr="00662A82" w:rsidRDefault="00662A82" w:rsidP="00662A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Орган в распоряжении которого необходимые документы для предоставления муниципальной услуги</w:t>
            </w:r>
          </w:p>
        </w:tc>
        <w:tc>
          <w:tcPr>
            <w:tcW w:w="2606" w:type="dxa"/>
          </w:tcPr>
          <w:p w:rsidR="00662A82" w:rsidRPr="00662A82" w:rsidRDefault="00662A82" w:rsidP="00662A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662A82" w:rsidTr="003952D1">
        <w:tc>
          <w:tcPr>
            <w:tcW w:w="817" w:type="dxa"/>
          </w:tcPr>
          <w:p w:rsidR="00662A82" w:rsidRPr="003952D1" w:rsidRDefault="00662A82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2A82" w:rsidRPr="003952D1" w:rsidRDefault="00662A82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662A82" w:rsidRPr="003952D1" w:rsidRDefault="00662A82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62A82" w:rsidRPr="003952D1" w:rsidRDefault="00662A82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2A82" w:rsidTr="003952D1">
        <w:tc>
          <w:tcPr>
            <w:tcW w:w="817" w:type="dxa"/>
          </w:tcPr>
          <w:p w:rsidR="00662A82" w:rsidRP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2A82" w:rsidRP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участке)(в случае, если права на земельный участок зарегистрированы в ЕГРН)</w:t>
            </w:r>
          </w:p>
        </w:tc>
        <w:tc>
          <w:tcPr>
            <w:tcW w:w="3313" w:type="dxa"/>
          </w:tcPr>
          <w:p w:rsidR="00662A82" w:rsidRP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 xml:space="preserve"> «Ф</w:t>
            </w:r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0" w:history="1">
              <w:r w:rsidRPr="003952D1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3952D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662A82" w:rsidRP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3952D1" w:rsidTr="003952D1">
        <w:tc>
          <w:tcPr>
            <w:tcW w:w="817" w:type="dxa"/>
          </w:tcPr>
          <w:p w:rsid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Кадастровый план территории (в случае образования земельного участка для проведения аукциона)</w:t>
            </w:r>
          </w:p>
        </w:tc>
        <w:tc>
          <w:tcPr>
            <w:tcW w:w="3313" w:type="dxa"/>
          </w:tcPr>
          <w:p w:rsidR="003952D1" w:rsidRP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«Ф</w:t>
            </w:r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1" w:history="1">
              <w:r w:rsidRPr="003952D1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3952D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3952D1" w:rsidRDefault="003952D1" w:rsidP="00395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662A82" w:rsidRDefault="00A25271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62A82">
        <w:rPr>
          <w:rFonts w:eastAsiaTheme="minorHAnsi"/>
          <w:sz w:val="28"/>
          <w:szCs w:val="28"/>
          <w:lang w:eastAsia="en-US"/>
        </w:rPr>
        <w:t>) подраздел 16 изложить в следующей редакции:</w:t>
      </w:r>
    </w:p>
    <w:p w:rsidR="00662A82" w:rsidRDefault="00662A82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</w:t>
      </w:r>
      <w:r>
        <w:rPr>
          <w:rFonts w:eastAsiaTheme="minorHAnsi"/>
          <w:sz w:val="28"/>
          <w:szCs w:val="28"/>
          <w:lang w:eastAsia="en-US"/>
        </w:rPr>
        <w:lastRenderedPageBreak/>
        <w:t>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62A82" w:rsidRDefault="00A25271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62A8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62A82" w:rsidRPr="00B30C80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A25271">
        <w:rPr>
          <w:sz w:val="28"/>
          <w:szCs w:val="24"/>
        </w:rPr>
        <w:t>1</w:t>
      </w:r>
      <w:r>
        <w:rPr>
          <w:sz w:val="28"/>
          <w:szCs w:val="24"/>
        </w:rPr>
        <w:t>) в подразделе 19: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62A82" w:rsidRPr="006C1C3D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62A82" w:rsidRPr="00684F14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62A82" w:rsidRPr="000D101C" w:rsidRDefault="00662A82" w:rsidP="00662A8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2A82" w:rsidRDefault="00662A82" w:rsidP="00662A8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2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7907F0" w:rsidRDefault="007907F0" w:rsidP="007907F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 w:rsidR="00662A82">
        <w:rPr>
          <w:sz w:val="28"/>
          <w:szCs w:val="24"/>
        </w:rPr>
        <w:t>) в пункте 20.2. слова «старший инспектор Комитета» заменить словами «документовед 1 категории Комитета»;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3</w:t>
      </w:r>
      <w:r w:rsidR="00662A82">
        <w:rPr>
          <w:sz w:val="28"/>
          <w:szCs w:val="24"/>
        </w:rPr>
        <w:t>)  пункт 22.5. дополнить подпунктом 3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«3</w:t>
      </w:r>
      <w:r w:rsidR="00A25271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Портале размещаются образцы заполнения электронной формы запроса о предоставлении услуги.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4</w:t>
      </w:r>
      <w:r w:rsidR="00662A82">
        <w:rPr>
          <w:sz w:val="28"/>
          <w:szCs w:val="24"/>
        </w:rPr>
        <w:t>) пункт 23.5.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5</w:t>
      </w:r>
      <w:r w:rsidR="00662A82">
        <w:rPr>
          <w:sz w:val="28"/>
          <w:szCs w:val="24"/>
        </w:rPr>
        <w:t>)</w:t>
      </w:r>
      <w:r w:rsidR="00662A82" w:rsidRPr="00F22B98">
        <w:rPr>
          <w:sz w:val="28"/>
          <w:szCs w:val="24"/>
        </w:rPr>
        <w:t xml:space="preserve"> </w:t>
      </w:r>
      <w:r w:rsidR="00662A82">
        <w:rPr>
          <w:sz w:val="28"/>
          <w:szCs w:val="24"/>
        </w:rPr>
        <w:t>пункт 23.8.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A25271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7907F0" w:rsidRPr="007907F0">
        <w:rPr>
          <w:sz w:val="28"/>
          <w:szCs w:val="24"/>
        </w:rPr>
        <w:t>6</w:t>
      </w:r>
      <w:r>
        <w:rPr>
          <w:sz w:val="28"/>
          <w:szCs w:val="24"/>
        </w:rPr>
        <w:t>)</w:t>
      </w:r>
      <w:r w:rsidR="00A25271">
        <w:rPr>
          <w:sz w:val="28"/>
          <w:szCs w:val="24"/>
        </w:rPr>
        <w:t xml:space="preserve"> в абзаце 3 подпункта 24.4.</w:t>
      </w:r>
      <w:r w:rsidR="004047B3">
        <w:rPr>
          <w:sz w:val="28"/>
          <w:szCs w:val="24"/>
        </w:rPr>
        <w:t xml:space="preserve"> слова «в ЕГРП» заменить словами «в ЕГРН»;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7</w:t>
      </w:r>
      <w:r w:rsidR="004047B3">
        <w:rPr>
          <w:sz w:val="28"/>
          <w:szCs w:val="24"/>
        </w:rPr>
        <w:t>)</w:t>
      </w:r>
      <w:r w:rsidR="00662A82">
        <w:rPr>
          <w:sz w:val="28"/>
          <w:szCs w:val="24"/>
        </w:rPr>
        <w:t xml:space="preserve"> пункт 26.3. дополнить подпунктом 4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«4</w:t>
      </w:r>
      <w:r w:rsidR="004047B3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="004047B3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</w:t>
      </w:r>
      <w:r>
        <w:rPr>
          <w:sz w:val="28"/>
          <w:szCs w:val="24"/>
        </w:rPr>
        <w:lastRenderedPageBreak/>
        <w:t>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="007907F0"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62A82" w:rsidRPr="00BD1134" w:rsidRDefault="00662A82" w:rsidP="00662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</w:t>
      </w:r>
      <w:r w:rsidRPr="00BD1134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2A82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62A82" w:rsidRDefault="00662A82" w:rsidP="00662A8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</w:t>
      </w:r>
      <w:r w:rsidRPr="00BD1134">
        <w:rPr>
          <w:bCs/>
          <w:spacing w:val="-3"/>
          <w:sz w:val="28"/>
          <w:szCs w:val="28"/>
        </w:rPr>
        <w:lastRenderedPageBreak/>
        <w:t xml:space="preserve">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62A82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62A82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62A82" w:rsidRDefault="00662A82" w:rsidP="00662A8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7E273A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7E273A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62A82" w:rsidRPr="000D4C36" w:rsidRDefault="00662A82" w:rsidP="00662A8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662A82" w:rsidRPr="000D4C36" w:rsidRDefault="00662A82" w:rsidP="00662A8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 w:rsidR="007E273A">
        <w:rPr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0D4C36">
        <w:rPr>
          <w:sz w:val="24"/>
          <w:szCs w:val="24"/>
        </w:rPr>
        <w:t>»</w:t>
      </w:r>
    </w:p>
    <w:p w:rsidR="00662A82" w:rsidRPr="000D4C36" w:rsidRDefault="00662A82" w:rsidP="00662A8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662A82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662A82" w:rsidRPr="000D4C36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5569">
        <w:rPr>
          <w:rFonts w:ascii="Times New Roman" w:hAnsi="Times New Roman" w:cs="Times New Roman"/>
          <w:sz w:val="24"/>
          <w:szCs w:val="24"/>
        </w:rPr>
        <w:t>регистрации</w:t>
      </w:r>
      <w:r w:rsidRPr="000D4C36">
        <w:rPr>
          <w:rFonts w:ascii="Times New Roman" w:hAnsi="Times New Roman" w:cs="Times New Roman"/>
          <w:sz w:val="24"/>
          <w:szCs w:val="24"/>
        </w:rPr>
        <w:t>: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662A82" w:rsidRDefault="00662A82" w:rsidP="00662A82">
      <w:pPr>
        <w:pStyle w:val="ConsPlusNonformat"/>
      </w:pPr>
    </w:p>
    <w:p w:rsidR="00662A82" w:rsidRPr="00B25236" w:rsidRDefault="00662A82" w:rsidP="00662A82">
      <w:pPr>
        <w:jc w:val="center"/>
        <w:rPr>
          <w:sz w:val="24"/>
          <w:szCs w:val="24"/>
        </w:rPr>
      </w:pPr>
      <w:r w:rsidRPr="00B25236">
        <w:rPr>
          <w:sz w:val="24"/>
          <w:szCs w:val="24"/>
        </w:rPr>
        <w:t>ЗАЯВЛЕНИЕ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Прошу   утвердить  схему  расположения  земельного  участка  или  земельных участков      на      кадастровом      плане     территории     в     целях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E09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0CCE">
        <w:rPr>
          <w:rFonts w:ascii="Times New Roman" w:hAnsi="Times New Roman" w:cs="Times New Roman"/>
          <w:sz w:val="24"/>
          <w:szCs w:val="24"/>
        </w:rPr>
        <w:t xml:space="preserve">   </w:t>
      </w:r>
      <w:r w:rsidRPr="001E09B4">
        <w:rPr>
          <w:rFonts w:ascii="Times New Roman" w:hAnsi="Times New Roman" w:cs="Times New Roman"/>
          <w:sz w:val="22"/>
          <w:szCs w:val="22"/>
        </w:rPr>
        <w:t>(раздела или объединения земельного участка, предоставления земельного участка путем проведения аукциона, предоставление земельного участка в постоянное (бессрочное) пользование)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1. Сведения об образуемом(ых) земельном(ых) участке(ах):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1.1. Ориентировочная площадь ______________ кв. м,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1.2. Цель использования __________________________,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1.3. Ориентиры местоположения ____________________________________.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2.  Сведения  о земельном(ых)  участке(ах),  из которого(ых)  образуются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lastRenderedPageBreak/>
        <w:t>земельные  участки  (заполняются  сведения  о  земельном участке (земельных участках), в случае раздела или объединения земельных участков):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2.1. Площадь _________________ кв. м,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2.2. Кадастровый №__________________,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2.3.Адрес: Ростовская область,г.Новошахтинск ________________________.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9B4">
        <w:rPr>
          <w:rFonts w:ascii="Times New Roman" w:hAnsi="Times New Roman" w:cs="Times New Roman"/>
          <w:sz w:val="22"/>
          <w:szCs w:val="22"/>
        </w:rPr>
        <w:t xml:space="preserve">   (заполняются сведения о земельном участке (земельных участках), в случае</w:t>
      </w:r>
    </w:p>
    <w:p w:rsidR="001E09B4" w:rsidRPr="001E09B4" w:rsidRDefault="001E09B4" w:rsidP="001E09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09B4">
        <w:rPr>
          <w:rFonts w:ascii="Times New Roman" w:hAnsi="Times New Roman" w:cs="Times New Roman"/>
          <w:sz w:val="22"/>
          <w:szCs w:val="22"/>
        </w:rPr>
        <w:t xml:space="preserve">                  раздела или объединения земельных участков)</w:t>
      </w:r>
    </w:p>
    <w:p w:rsidR="001E09B4" w:rsidRPr="001E09B4" w:rsidRDefault="001E09B4" w:rsidP="001E0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9B4">
        <w:rPr>
          <w:rFonts w:ascii="Times New Roman" w:hAnsi="Times New Roman" w:cs="Times New Roman"/>
          <w:sz w:val="24"/>
          <w:szCs w:val="24"/>
        </w:rPr>
        <w:t>3. Иные сведения:_______________________   __________________________.</w:t>
      </w:r>
    </w:p>
    <w:p w:rsidR="00662A82" w:rsidRPr="000D4C36" w:rsidRDefault="00662A82" w:rsidP="00662A82">
      <w:pPr>
        <w:ind w:firstLine="708"/>
        <w:rPr>
          <w:sz w:val="24"/>
          <w:szCs w:val="24"/>
          <w:lang w:eastAsia="en-US"/>
        </w:rPr>
      </w:pPr>
      <w:r w:rsidRPr="009C242B">
        <w:rPr>
          <w:rFonts w:eastAsiaTheme="minorHAnsi"/>
          <w:sz w:val="24"/>
          <w:szCs w:val="24"/>
          <w:lang w:eastAsia="en-US"/>
        </w:rPr>
        <w:t xml:space="preserve">    </w:t>
      </w: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662A82" w:rsidRPr="00CC38F3" w:rsidRDefault="00662A82" w:rsidP="00EA4653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662A82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CC38F3" w:rsidRDefault="00662A82" w:rsidP="00EA4653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662A82" w:rsidRPr="0026143A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62A82" w:rsidRPr="00CC38F3" w:rsidRDefault="00662A82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A82" w:rsidRPr="009C242B" w:rsidRDefault="00662A82" w:rsidP="00EA4653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662A82" w:rsidRPr="000D4C36" w:rsidRDefault="00662A82" w:rsidP="00662A82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662A82" w:rsidRDefault="00662A8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62A82" w:rsidSect="002C5B58">
      <w:footerReference w:type="default" r:id="rId17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FE" w:rsidRDefault="004F0BFE" w:rsidP="00A87015">
      <w:r>
        <w:separator/>
      </w:r>
    </w:p>
  </w:endnote>
  <w:endnote w:type="continuationSeparator" w:id="0">
    <w:p w:rsidR="004F0BFE" w:rsidRDefault="004F0BFE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FE" w:rsidRDefault="004F0BFE" w:rsidP="00A87015">
      <w:r>
        <w:separator/>
      </w:r>
    </w:p>
  </w:footnote>
  <w:footnote w:type="continuationSeparator" w:id="0">
    <w:p w:rsidR="004F0BFE" w:rsidRDefault="004F0BFE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52648"/>
    <w:rsid w:val="00061667"/>
    <w:rsid w:val="00062A41"/>
    <w:rsid w:val="00065887"/>
    <w:rsid w:val="00070ED6"/>
    <w:rsid w:val="0008038B"/>
    <w:rsid w:val="00091FCC"/>
    <w:rsid w:val="00092E90"/>
    <w:rsid w:val="000B170B"/>
    <w:rsid w:val="000B236D"/>
    <w:rsid w:val="000C2C09"/>
    <w:rsid w:val="000C4249"/>
    <w:rsid w:val="000D3232"/>
    <w:rsid w:val="000E4A4A"/>
    <w:rsid w:val="00101055"/>
    <w:rsid w:val="00105569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5346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20B87"/>
    <w:rsid w:val="00220CF2"/>
    <w:rsid w:val="00233F5D"/>
    <w:rsid w:val="00237AC8"/>
    <w:rsid w:val="0024064F"/>
    <w:rsid w:val="00243F07"/>
    <w:rsid w:val="00247FB6"/>
    <w:rsid w:val="002621EF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E0029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620D"/>
    <w:rsid w:val="00383319"/>
    <w:rsid w:val="00384C1E"/>
    <w:rsid w:val="00392FC3"/>
    <w:rsid w:val="00394495"/>
    <w:rsid w:val="003952D1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553C"/>
    <w:rsid w:val="004B6502"/>
    <w:rsid w:val="004D5069"/>
    <w:rsid w:val="004D54AF"/>
    <w:rsid w:val="004D7A2C"/>
    <w:rsid w:val="004E0696"/>
    <w:rsid w:val="004E5BA6"/>
    <w:rsid w:val="004E7E18"/>
    <w:rsid w:val="004F0BFE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600080"/>
    <w:rsid w:val="006311A0"/>
    <w:rsid w:val="00631A0D"/>
    <w:rsid w:val="006432E6"/>
    <w:rsid w:val="00661298"/>
    <w:rsid w:val="00662299"/>
    <w:rsid w:val="00662A82"/>
    <w:rsid w:val="00662E3E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53BF"/>
    <w:rsid w:val="00695C5C"/>
    <w:rsid w:val="006968A1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D20"/>
    <w:rsid w:val="00730ECD"/>
    <w:rsid w:val="007318B0"/>
    <w:rsid w:val="007363DA"/>
    <w:rsid w:val="00741BBC"/>
    <w:rsid w:val="00741E99"/>
    <w:rsid w:val="00751232"/>
    <w:rsid w:val="00762F4E"/>
    <w:rsid w:val="00763FF8"/>
    <w:rsid w:val="00764819"/>
    <w:rsid w:val="00766F81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D158D"/>
    <w:rsid w:val="007D239A"/>
    <w:rsid w:val="007E273A"/>
    <w:rsid w:val="007E2939"/>
    <w:rsid w:val="008123D0"/>
    <w:rsid w:val="00822000"/>
    <w:rsid w:val="00836168"/>
    <w:rsid w:val="008368D8"/>
    <w:rsid w:val="00845C4F"/>
    <w:rsid w:val="00851230"/>
    <w:rsid w:val="00855ADC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6992"/>
    <w:rsid w:val="009277F6"/>
    <w:rsid w:val="00931FC8"/>
    <w:rsid w:val="00954DB2"/>
    <w:rsid w:val="00963091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462E"/>
    <w:rsid w:val="00A25271"/>
    <w:rsid w:val="00A300A6"/>
    <w:rsid w:val="00A30282"/>
    <w:rsid w:val="00A47A76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50FA6"/>
    <w:rsid w:val="00B51B61"/>
    <w:rsid w:val="00B7338A"/>
    <w:rsid w:val="00B7496D"/>
    <w:rsid w:val="00B870C7"/>
    <w:rsid w:val="00B94BF7"/>
    <w:rsid w:val="00B96D42"/>
    <w:rsid w:val="00BA0422"/>
    <w:rsid w:val="00BA4F54"/>
    <w:rsid w:val="00BA6252"/>
    <w:rsid w:val="00BA7EAB"/>
    <w:rsid w:val="00BB2DF4"/>
    <w:rsid w:val="00BD6140"/>
    <w:rsid w:val="00BD6DF6"/>
    <w:rsid w:val="00BE5D30"/>
    <w:rsid w:val="00BF3BD5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63BA3"/>
    <w:rsid w:val="00D70BCE"/>
    <w:rsid w:val="00D91551"/>
    <w:rsid w:val="00DA06E1"/>
    <w:rsid w:val="00DA3E23"/>
    <w:rsid w:val="00DB770C"/>
    <w:rsid w:val="00DB7AE3"/>
    <w:rsid w:val="00DC315C"/>
    <w:rsid w:val="00DC3EAC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72C9"/>
    <w:rsid w:val="00E320B8"/>
    <w:rsid w:val="00E63F13"/>
    <w:rsid w:val="00E64435"/>
    <w:rsid w:val="00E709C6"/>
    <w:rsid w:val="00E730EF"/>
    <w:rsid w:val="00E8052E"/>
    <w:rsid w:val="00E94159"/>
    <w:rsid w:val="00E95923"/>
    <w:rsid w:val="00ED12DB"/>
    <w:rsid w:val="00ED2A9E"/>
    <w:rsid w:val="00EE1210"/>
    <w:rsid w:val="00EE453A"/>
    <w:rsid w:val="00EF59CE"/>
    <w:rsid w:val="00F021FE"/>
    <w:rsid w:val="00F12C22"/>
    <w:rsid w:val="00F13E3B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Desktop\&#1050;&#1059;&#1048;\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A2663E88864F8A70FB2E40C839B2DD1C197A4BDE6A2E05CECFA2BDFD4CF3CCD97669B48691B55DE2C0EA7N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IRU-2\Desktop\&#1050;&#1059;&#1048;\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B4845F29350909171A0EC86C4C08BDD6B3EE2A18A6A487EB5AF842F427F85D7D9BB964A5AA16AL1LF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Desktop\&#1050;&#1059;&#1048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A7E4-4926-4F9B-AD8C-525A62A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2018-04-09T06:24:00Z</cp:lastPrinted>
  <dcterms:created xsi:type="dcterms:W3CDTF">2018-04-09T08:11:00Z</dcterms:created>
  <dcterms:modified xsi:type="dcterms:W3CDTF">2018-04-09T08:11:00Z</dcterms:modified>
</cp:coreProperties>
</file>