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DD30D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07</w:t>
      </w:r>
      <w:r>
        <w:rPr>
          <w:sz w:val="28"/>
          <w:szCs w:val="28"/>
        </w:rPr>
        <w:t xml:space="preserve">.2016 № </w:t>
      </w:r>
      <w:r w:rsidR="002F3CA4">
        <w:rPr>
          <w:sz w:val="28"/>
          <w:szCs w:val="28"/>
        </w:rPr>
        <w:t>6</w:t>
      </w:r>
      <w:r w:rsidR="00DD30D5">
        <w:rPr>
          <w:sz w:val="28"/>
          <w:szCs w:val="28"/>
        </w:rPr>
        <w:t>7</w:t>
      </w:r>
      <w:r w:rsidR="00066225">
        <w:rPr>
          <w:sz w:val="28"/>
          <w:szCs w:val="28"/>
        </w:rPr>
        <w:t>6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DD30D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F3CA4">
        <w:rPr>
          <w:rFonts w:ascii="Times New Roman" w:hAnsi="Times New Roman"/>
          <w:sz w:val="28"/>
          <w:szCs w:val="28"/>
        </w:rPr>
        <w:t>6</w:t>
      </w:r>
      <w:r w:rsidR="00DD30D5">
        <w:rPr>
          <w:rFonts w:ascii="Times New Roman" w:hAnsi="Times New Roman"/>
          <w:sz w:val="28"/>
          <w:szCs w:val="28"/>
        </w:rPr>
        <w:t>7</w:t>
      </w:r>
      <w:r w:rsidR="000662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066225">
        <w:rPr>
          <w:rFonts w:ascii="Times New Roman" w:hAnsi="Times New Roman"/>
          <w:sz w:val="28"/>
          <w:szCs w:val="28"/>
        </w:rPr>
        <w:t xml:space="preserve">Устранение технических ошибок </w:t>
      </w:r>
      <w:r w:rsidR="00645545">
        <w:rPr>
          <w:rFonts w:ascii="Times New Roman" w:hAnsi="Times New Roman"/>
          <w:sz w:val="28"/>
          <w:szCs w:val="28"/>
        </w:rPr>
        <w:t>в</w:t>
      </w:r>
      <w:r w:rsidR="00066225">
        <w:rPr>
          <w:rFonts w:ascii="Times New Roman" w:hAnsi="Times New Roman"/>
          <w:sz w:val="28"/>
          <w:szCs w:val="28"/>
        </w:rPr>
        <w:t xml:space="preserve"> правоустанавливающи</w:t>
      </w:r>
      <w:r w:rsidR="00645545">
        <w:rPr>
          <w:rFonts w:ascii="Times New Roman" w:hAnsi="Times New Roman"/>
          <w:sz w:val="28"/>
          <w:szCs w:val="28"/>
        </w:rPr>
        <w:t>х документах о предоставлении земельного участка, принятых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="001311AB" w:rsidRPr="002F3CA4">
        <w:rPr>
          <w:rFonts w:ascii="Times New Roman" w:hAnsi="Times New Roman"/>
        </w:rPr>
        <w:t>И.</w:t>
      </w:r>
      <w:r w:rsidR="001311AB">
        <w:rPr>
          <w:rFonts w:ascii="Times New Roman" w:hAnsi="Times New Roman"/>
        </w:rPr>
        <w:t>М</w:t>
      </w:r>
      <w:r w:rsidR="001311AB" w:rsidRPr="002F3CA4">
        <w:rPr>
          <w:rFonts w:ascii="Times New Roman" w:hAnsi="Times New Roman"/>
        </w:rPr>
        <w:t>.</w:t>
      </w:r>
      <w:r w:rsidR="001311AB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DD30D5">
        <w:rPr>
          <w:rFonts w:ascii="Times New Roman" w:hAnsi="Times New Roman"/>
          <w:sz w:val="28"/>
          <w:szCs w:val="28"/>
        </w:rPr>
        <w:t>15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07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DD4D96">
        <w:rPr>
          <w:rFonts w:ascii="Times New Roman" w:hAnsi="Times New Roman"/>
          <w:sz w:val="28"/>
          <w:szCs w:val="28"/>
        </w:rPr>
        <w:t>6</w:t>
      </w:r>
      <w:r w:rsidR="00DD30D5">
        <w:rPr>
          <w:rFonts w:ascii="Times New Roman" w:hAnsi="Times New Roman"/>
          <w:sz w:val="28"/>
          <w:szCs w:val="28"/>
        </w:rPr>
        <w:t>7</w:t>
      </w:r>
      <w:r w:rsidR="00171542"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171542">
        <w:rPr>
          <w:rFonts w:ascii="Times New Roman" w:hAnsi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171542" w:rsidRPr="00B15564" w:rsidRDefault="00171542" w:rsidP="00171542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171542" w:rsidRPr="00B15564" w:rsidRDefault="00171542" w:rsidP="00171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171542" w:rsidRDefault="00171542" w:rsidP="00171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171542" w:rsidRPr="003B7653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абзацем следующего содержания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171542" w:rsidRDefault="00171542" w:rsidP="001715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171542" w:rsidRDefault="00171542" w:rsidP="001715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171542" w:rsidRDefault="00171542" w:rsidP="001715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171542" w:rsidRDefault="00171542" w:rsidP="00171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171542" w:rsidRPr="004A67BA" w:rsidRDefault="00171542" w:rsidP="00171542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«ф</w:t>
      </w:r>
      <w:r w:rsidRPr="004A67BA">
        <w:rPr>
          <w:sz w:val="28"/>
          <w:szCs w:val="24"/>
        </w:rPr>
        <w:t>едеральным законом от 06.04.2011 № 63-ФЗ «Об электронной подписи» («Российская газета» от 08.04.2011 № 75);</w:t>
      </w:r>
    </w:p>
    <w:p w:rsidR="00171542" w:rsidRDefault="00171542" w:rsidP="00171542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</w:t>
      </w:r>
      <w:r>
        <w:rPr>
          <w:sz w:val="28"/>
          <w:szCs w:val="24"/>
        </w:rPr>
        <w:t>;</w:t>
      </w:r>
    </w:p>
    <w:p w:rsidR="00171542" w:rsidRDefault="00171542" w:rsidP="00171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171542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171542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  в пункте 10.2:</w:t>
      </w:r>
    </w:p>
    <w:p w:rsidR="00171542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lastRenderedPageBreak/>
        <w:t>а) в графе 2 таблицы «Наименование документов, предоставляемых заявителем по собственной инициативе» в пункте 3 слова «Кадастровый паспорт земельного участка (в случае технической ошибки в отношении параметров земельного участка)» заменить словами «Выписка из Единого государственного реестра недвижимости (ЕГРН) об объекте недвижимости (об испрашиваемом земельном участке) (в случае технической ошибки в отношении параметров земельного участка)»;</w:t>
      </w:r>
    </w:p>
    <w:p w:rsidR="00171542" w:rsidRPr="00171542" w:rsidRDefault="00171542" w:rsidP="0017154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4"/>
        </w:rPr>
        <w:t xml:space="preserve">в) в графе 3 таблицы </w:t>
      </w:r>
      <w:r w:rsidRPr="00171542">
        <w:rPr>
          <w:bCs/>
          <w:color w:val="000000"/>
          <w:sz w:val="28"/>
          <w:szCs w:val="28"/>
        </w:rPr>
        <w:t>«Орган в распоряжении которого необходимые документы для предоставления муниципальной услуги»</w:t>
      </w:r>
      <w:r>
        <w:rPr>
          <w:bCs/>
          <w:color w:val="000000"/>
          <w:sz w:val="28"/>
          <w:szCs w:val="28"/>
        </w:rPr>
        <w:t xml:space="preserve"> в пункте 3 слова «Филиал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заменить словами </w:t>
      </w:r>
      <w:r w:rsidRPr="00171542">
        <w:rPr>
          <w:bCs/>
          <w:color w:val="000000"/>
          <w:sz w:val="28"/>
          <w:szCs w:val="28"/>
        </w:rPr>
        <w:t>«Ф</w:t>
      </w:r>
      <w:r w:rsidRPr="00171542"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согласно </w:t>
      </w:r>
      <w:hyperlink r:id="rId10" w:history="1">
        <w:r w:rsidRPr="00171542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 w:rsidRPr="00171542"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 w:rsidRPr="0017154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;</w:t>
      </w:r>
    </w:p>
    <w:p w:rsidR="00171542" w:rsidRDefault="00171542" w:rsidP="0017154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подраздел 16 изложить в следующей редакции:</w:t>
      </w:r>
    </w:p>
    <w:p w:rsidR="00171542" w:rsidRDefault="00171542" w:rsidP="00171542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171542" w:rsidRDefault="002737B9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71542">
        <w:rPr>
          <w:rFonts w:eastAsiaTheme="minorHAnsi"/>
          <w:sz w:val="28"/>
          <w:szCs w:val="28"/>
          <w:lang w:eastAsia="en-US"/>
        </w:rPr>
        <w:t>) в подразделе 18:</w:t>
      </w:r>
    </w:p>
    <w:p w:rsidR="00171542" w:rsidRDefault="00171542" w:rsidP="0017154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171542" w:rsidRDefault="00171542" w:rsidP="00171542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171542" w:rsidRDefault="00171542" w:rsidP="00171542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171542" w:rsidRPr="00B30C80" w:rsidRDefault="00171542" w:rsidP="0017154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171542" w:rsidRDefault="00171542" w:rsidP="00171542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171542" w:rsidRDefault="00171542" w:rsidP="0017154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2737B9">
        <w:rPr>
          <w:sz w:val="28"/>
          <w:szCs w:val="24"/>
        </w:rPr>
        <w:t>0</w:t>
      </w:r>
      <w:r>
        <w:rPr>
          <w:sz w:val="28"/>
          <w:szCs w:val="24"/>
        </w:rPr>
        <w:t>) в подразделе 19:</w:t>
      </w:r>
    </w:p>
    <w:p w:rsidR="00171542" w:rsidRDefault="00171542" w:rsidP="0017154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а) наименование подраздела изложить в следующей редакции:</w:t>
      </w:r>
    </w:p>
    <w:p w:rsidR="00171542" w:rsidRDefault="00171542" w:rsidP="0017154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171542" w:rsidRDefault="00171542" w:rsidP="0017154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171542" w:rsidRPr="006C1C3D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171542" w:rsidRPr="006C1C3D" w:rsidRDefault="00171542" w:rsidP="0017154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171542" w:rsidRPr="006C1C3D" w:rsidRDefault="00171542" w:rsidP="0017154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171542" w:rsidRPr="00684F14" w:rsidRDefault="00171542" w:rsidP="00171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171542" w:rsidRPr="000D101C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171542" w:rsidRPr="000D101C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171542" w:rsidRPr="000D101C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171542" w:rsidRPr="000D101C" w:rsidRDefault="00171542" w:rsidP="00171542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171542" w:rsidRPr="000D101C" w:rsidRDefault="00171542" w:rsidP="00171542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171542" w:rsidRDefault="00171542" w:rsidP="00171542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 xml:space="preserve"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</w:t>
      </w:r>
      <w:r w:rsidRPr="000D101C">
        <w:rPr>
          <w:bCs/>
          <w:color w:val="000000"/>
          <w:sz w:val="28"/>
          <w:szCs w:val="24"/>
        </w:rPr>
        <w:lastRenderedPageBreak/>
        <w:t>для расчета длительности временного интервала, который необходимо забронировать для приема.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1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1) в пункте 20.1. в графе 2 «Наименование административной процедуры» в пункте 6 слова «Выдача заявителю результата муниципальной услуги» заменить 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2</w:t>
      </w:r>
      <w:r>
        <w:rPr>
          <w:sz w:val="28"/>
          <w:szCs w:val="24"/>
        </w:rPr>
        <w:t>) в пункте 20.2. слова «старший инспектор Комитета» заменить словами «документовед 1 категории Комитета»;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3</w:t>
      </w:r>
      <w:r>
        <w:rPr>
          <w:sz w:val="28"/>
          <w:szCs w:val="24"/>
        </w:rPr>
        <w:t xml:space="preserve">)  пункт 22.5. дополнить подпунктом </w:t>
      </w:r>
      <w:r w:rsidR="002737B9">
        <w:rPr>
          <w:sz w:val="28"/>
          <w:szCs w:val="24"/>
        </w:rPr>
        <w:t>22.5.3</w:t>
      </w:r>
      <w:r>
        <w:rPr>
          <w:sz w:val="28"/>
          <w:szCs w:val="24"/>
        </w:rPr>
        <w:t xml:space="preserve"> следующего содержания: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>«</w:t>
      </w:r>
      <w:r w:rsidR="002737B9">
        <w:rPr>
          <w:sz w:val="28"/>
          <w:szCs w:val="24"/>
        </w:rPr>
        <w:t>22.5.</w:t>
      </w:r>
      <w:r>
        <w:rPr>
          <w:sz w:val="28"/>
          <w:szCs w:val="24"/>
        </w:rPr>
        <w:t xml:space="preserve">3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4</w:t>
      </w:r>
      <w:r>
        <w:rPr>
          <w:sz w:val="28"/>
          <w:szCs w:val="24"/>
        </w:rPr>
        <w:t>) пункт 23.5. изложить в следующей редакции: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7907F0">
        <w:rPr>
          <w:sz w:val="28"/>
          <w:szCs w:val="24"/>
        </w:rPr>
        <w:t>5</w:t>
      </w:r>
      <w:r>
        <w:rPr>
          <w:sz w:val="28"/>
          <w:szCs w:val="24"/>
        </w:rPr>
        <w:t>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7907F0">
        <w:rPr>
          <w:sz w:val="28"/>
          <w:szCs w:val="24"/>
        </w:rPr>
        <w:t>6</w:t>
      </w:r>
      <w:r>
        <w:rPr>
          <w:sz w:val="28"/>
          <w:szCs w:val="24"/>
        </w:rPr>
        <w:t xml:space="preserve">) пункт 26.3. дополнить подпунктом </w:t>
      </w:r>
      <w:r w:rsidR="002737B9">
        <w:rPr>
          <w:sz w:val="28"/>
          <w:szCs w:val="24"/>
        </w:rPr>
        <w:t>26.3.</w:t>
      </w:r>
      <w:r>
        <w:rPr>
          <w:sz w:val="28"/>
          <w:szCs w:val="24"/>
        </w:rPr>
        <w:t>4 следующего содержания: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 w:rsidR="002737B9">
        <w:rPr>
          <w:sz w:val="28"/>
          <w:szCs w:val="24"/>
        </w:rPr>
        <w:t>26.3.4</w:t>
      </w:r>
      <w:r>
        <w:rPr>
          <w:sz w:val="28"/>
          <w:szCs w:val="24"/>
        </w:rPr>
        <w:t xml:space="preserve">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Портал.».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</w:t>
      </w:r>
      <w:r w:rsidRPr="007907F0">
        <w:rPr>
          <w:sz w:val="28"/>
          <w:szCs w:val="24"/>
        </w:rPr>
        <w:t>4</w:t>
      </w:r>
      <w:r>
        <w:rPr>
          <w:sz w:val="28"/>
          <w:szCs w:val="24"/>
        </w:rPr>
        <w:t xml:space="preserve">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171542" w:rsidRDefault="00171542" w:rsidP="0017154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171542" w:rsidRDefault="00171542" w:rsidP="00171542">
      <w:pPr>
        <w:ind w:firstLine="540"/>
        <w:jc w:val="both"/>
        <w:rPr>
          <w:sz w:val="28"/>
          <w:szCs w:val="28"/>
        </w:rPr>
      </w:pPr>
    </w:p>
    <w:p w:rsidR="00171542" w:rsidRDefault="00171542" w:rsidP="00171542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171542" w:rsidRDefault="00171542" w:rsidP="00171542">
      <w:pPr>
        <w:ind w:firstLine="540"/>
        <w:jc w:val="both"/>
        <w:rPr>
          <w:sz w:val="28"/>
          <w:szCs w:val="28"/>
        </w:rPr>
      </w:pPr>
    </w:p>
    <w:p w:rsidR="00171542" w:rsidRDefault="00171542" w:rsidP="001715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171542" w:rsidRPr="00BD1134" w:rsidRDefault="00171542" w:rsidP="001715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171542" w:rsidRPr="00BD1134" w:rsidRDefault="00171542" w:rsidP="0017154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171542" w:rsidRPr="00BD1134" w:rsidRDefault="00171542" w:rsidP="0017154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71542" w:rsidRDefault="00171542" w:rsidP="00171542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171542" w:rsidRDefault="00171542" w:rsidP="00171542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</w:t>
      </w:r>
      <w:r w:rsidRPr="00BD1134">
        <w:rPr>
          <w:sz w:val="28"/>
          <w:szCs w:val="28"/>
        </w:rPr>
        <w:lastRenderedPageBreak/>
        <w:t xml:space="preserve">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</w:t>
      </w:r>
      <w:r w:rsidRPr="00BD1134">
        <w:rPr>
          <w:sz w:val="28"/>
          <w:szCs w:val="28"/>
        </w:rPr>
        <w:lastRenderedPageBreak/>
        <w:t xml:space="preserve">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71542" w:rsidRDefault="00171542" w:rsidP="00171542">
      <w:pPr>
        <w:jc w:val="center"/>
        <w:rPr>
          <w:sz w:val="28"/>
          <w:szCs w:val="28"/>
        </w:rPr>
      </w:pP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171542" w:rsidRDefault="00171542" w:rsidP="00171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171542" w:rsidRDefault="00171542" w:rsidP="00171542">
      <w:pPr>
        <w:jc w:val="center"/>
        <w:rPr>
          <w:sz w:val="28"/>
          <w:szCs w:val="28"/>
        </w:rPr>
      </w:pP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171542" w:rsidRDefault="00171542" w:rsidP="00171542">
      <w:pPr>
        <w:jc w:val="center"/>
        <w:rPr>
          <w:sz w:val="28"/>
          <w:szCs w:val="28"/>
        </w:rPr>
      </w:pP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171542" w:rsidRDefault="00171542" w:rsidP="00171542">
      <w:pPr>
        <w:jc w:val="both"/>
        <w:rPr>
          <w:sz w:val="28"/>
          <w:szCs w:val="28"/>
        </w:rPr>
      </w:pP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171542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171542" w:rsidRDefault="00171542" w:rsidP="00171542">
      <w:pPr>
        <w:ind w:firstLine="708"/>
        <w:jc w:val="center"/>
        <w:rPr>
          <w:sz w:val="28"/>
          <w:szCs w:val="28"/>
        </w:rPr>
      </w:pPr>
    </w:p>
    <w:p w:rsidR="00171542" w:rsidRDefault="00171542" w:rsidP="0017154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39. Право заявителя на получение информации и документов, необходимых для обоснования и рассмотрения жалобы</w:t>
      </w: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171542" w:rsidRDefault="00171542" w:rsidP="00171542">
      <w:pPr>
        <w:jc w:val="both"/>
        <w:rPr>
          <w:sz w:val="28"/>
          <w:szCs w:val="28"/>
        </w:rPr>
      </w:pP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171542" w:rsidRDefault="00171542" w:rsidP="00171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171542" w:rsidRDefault="00171542" w:rsidP="00171542">
      <w:pPr>
        <w:jc w:val="center"/>
        <w:rPr>
          <w:sz w:val="28"/>
          <w:szCs w:val="28"/>
        </w:rPr>
      </w:pPr>
    </w:p>
    <w:p w:rsidR="00171542" w:rsidRPr="00BD1134" w:rsidRDefault="00171542" w:rsidP="001715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171542" w:rsidRPr="00BD1134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171542" w:rsidRDefault="00171542" w:rsidP="00171542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171542" w:rsidRDefault="00171542" w:rsidP="00171542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«У</w:t>
      </w:r>
      <w:r w:rsidR="00891936">
        <w:rPr>
          <w:sz w:val="28"/>
          <w:szCs w:val="28"/>
        </w:rPr>
        <w:t>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171542" w:rsidRDefault="00171542" w:rsidP="00171542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CC5C23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71542" w:rsidRPr="000D4C36" w:rsidRDefault="00171542" w:rsidP="00171542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171542" w:rsidRPr="000D4C36" w:rsidRDefault="00171542" w:rsidP="0017154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171542" w:rsidRPr="000D4C36" w:rsidRDefault="00171542" w:rsidP="00171542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</w:p>
    <w:p w:rsidR="00171542" w:rsidRPr="000D4C36" w:rsidRDefault="00171542" w:rsidP="00171542">
      <w:pPr>
        <w:tabs>
          <w:tab w:val="left" w:pos="5103"/>
        </w:tabs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="00CC5C23">
        <w:rPr>
          <w:sz w:val="24"/>
          <w:szCs w:val="24"/>
        </w:rPr>
        <w:t>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0D4C36">
        <w:rPr>
          <w:sz w:val="24"/>
          <w:szCs w:val="24"/>
        </w:rPr>
        <w:t>»</w:t>
      </w:r>
    </w:p>
    <w:p w:rsidR="00171542" w:rsidRPr="000D4C36" w:rsidRDefault="00171542" w:rsidP="00171542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171542" w:rsidRDefault="00171542" w:rsidP="0017154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171542" w:rsidRPr="000D4C36" w:rsidRDefault="00171542" w:rsidP="00171542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0D4C36">
        <w:rPr>
          <w:rFonts w:ascii="Times New Roman" w:hAnsi="Times New Roman" w:cs="Times New Roman"/>
          <w:sz w:val="24"/>
          <w:szCs w:val="24"/>
        </w:rPr>
        <w:t>: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171542" w:rsidRDefault="00171542" w:rsidP="00171542">
      <w:pPr>
        <w:pStyle w:val="ConsPlusNonformat"/>
      </w:pPr>
    </w:p>
    <w:p w:rsidR="00171542" w:rsidRPr="00B25236" w:rsidRDefault="00171542" w:rsidP="00171542">
      <w:pPr>
        <w:jc w:val="center"/>
        <w:rPr>
          <w:sz w:val="24"/>
          <w:szCs w:val="24"/>
        </w:rPr>
      </w:pPr>
      <w:r w:rsidRPr="00B25236">
        <w:rPr>
          <w:sz w:val="24"/>
          <w:szCs w:val="24"/>
        </w:rPr>
        <w:t>ЗАЯВЛЕНИЕ</w:t>
      </w:r>
    </w:p>
    <w:p w:rsidR="00FC1DC9" w:rsidRPr="00FC1DC9" w:rsidRDefault="00FC1DC9" w:rsidP="00FC1DC9">
      <w:pPr>
        <w:pStyle w:val="ConsPlusNormal"/>
        <w:ind w:firstLine="540"/>
        <w:jc w:val="both"/>
        <w:rPr>
          <w:rFonts w:ascii="Times New Roman" w:hAnsi="Times New Roman"/>
        </w:rPr>
      </w:pPr>
      <w:r w:rsidRPr="00FC1DC9">
        <w:rPr>
          <w:rFonts w:ascii="Times New Roman" w:hAnsi="Times New Roman"/>
          <w:sz w:val="24"/>
          <w:szCs w:val="24"/>
        </w:rPr>
        <w:t>Прошу устранить техническую ошибку в</w:t>
      </w:r>
      <w:r w:rsidRPr="00FC1DC9">
        <w:rPr>
          <w:rFonts w:ascii="Times New Roman" w:hAnsi="Times New Roman"/>
        </w:rPr>
        <w:t>_____________________________ _____________________________________________________________________</w:t>
      </w:r>
      <w:r>
        <w:rPr>
          <w:rFonts w:ascii="Times New Roman" w:hAnsi="Times New Roman"/>
        </w:rPr>
        <w:t>_</w:t>
      </w:r>
      <w:r w:rsidRPr="00FC1DC9">
        <w:rPr>
          <w:rFonts w:ascii="Times New Roman" w:hAnsi="Times New Roman"/>
        </w:rPr>
        <w:t xml:space="preserve"> </w:t>
      </w:r>
      <w:r w:rsidRPr="00FC1DC9">
        <w:rPr>
          <w:rFonts w:ascii="Times New Roman" w:hAnsi="Times New Roman"/>
          <w:vertAlign w:val="superscript"/>
        </w:rPr>
        <w:t xml:space="preserve">(указать правоустанавливающий документ на земельный участок (в который будут внесены изменения) номер, дата выдачи, наименование </w:t>
      </w:r>
      <w:r>
        <w:rPr>
          <w:rFonts w:ascii="Times New Roman" w:hAnsi="Times New Roman"/>
          <w:vertAlign w:val="superscript"/>
        </w:rPr>
        <w:t>выдавшего органа)</w:t>
      </w:r>
    </w:p>
    <w:p w:rsidR="00FC1DC9" w:rsidRDefault="00FC1DC9" w:rsidP="00FC1DC9">
      <w:pPr>
        <w:pStyle w:val="ConsPlusNormal"/>
        <w:ind w:firstLine="0"/>
        <w:jc w:val="both"/>
        <w:rPr>
          <w:sz w:val="22"/>
        </w:rPr>
      </w:pPr>
      <w:r w:rsidRPr="00FC1DC9">
        <w:rPr>
          <w:rFonts w:ascii="Times New Roman" w:hAnsi="Times New Roman"/>
          <w:sz w:val="24"/>
          <w:szCs w:val="24"/>
        </w:rPr>
        <w:t>в  части</w:t>
      </w:r>
      <w:r>
        <w:rPr>
          <w:sz w:val="24"/>
          <w:szCs w:val="24"/>
        </w:rPr>
        <w:t>________________________________________________________</w:t>
      </w:r>
    </w:p>
    <w:p w:rsidR="00FC1DC9" w:rsidRPr="008A5DB0" w:rsidRDefault="00FC1DC9" w:rsidP="00FC1DC9">
      <w:pPr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</w:t>
      </w:r>
      <w:r>
        <w:rPr>
          <w:vertAlign w:val="superscript"/>
          <w:lang w:eastAsia="en-US"/>
        </w:rPr>
        <w:tab/>
      </w:r>
      <w:r>
        <w:rPr>
          <w:sz w:val="22"/>
          <w:vertAlign w:val="superscript"/>
        </w:rPr>
        <w:t>(уточнение адреса земельного участка, адреса регистрации, фамилии, имени или отчества физического лица и др.)</w:t>
      </w:r>
    </w:p>
    <w:p w:rsidR="00FC1DC9" w:rsidRDefault="00FC1DC9" w:rsidP="00FC1DC9">
      <w:pPr>
        <w:pStyle w:val="ConsPlusNormal"/>
        <w:ind w:firstLine="540"/>
        <w:jc w:val="both"/>
        <w:rPr>
          <w:sz w:val="22"/>
        </w:rPr>
      </w:pPr>
      <w:r w:rsidRPr="00FC1DC9">
        <w:rPr>
          <w:rFonts w:ascii="Times New Roman" w:hAnsi="Times New Roman"/>
          <w:sz w:val="24"/>
          <w:szCs w:val="24"/>
        </w:rPr>
        <w:t>Документ, подтверждающий правомерность устранения технической ошибки</w:t>
      </w:r>
      <w:r w:rsidRPr="00CD1173">
        <w:rPr>
          <w:sz w:val="24"/>
          <w:szCs w:val="24"/>
        </w:rPr>
        <w:t xml:space="preserve"> </w:t>
      </w:r>
      <w:r>
        <w:rPr>
          <w:sz w:val="22"/>
        </w:rPr>
        <w:t>___________________________________________________________________________________</w:t>
      </w:r>
    </w:p>
    <w:p w:rsidR="00FC1DC9" w:rsidRPr="00FC1DC9" w:rsidRDefault="00FC1DC9" w:rsidP="00FC1DC9">
      <w:pPr>
        <w:pStyle w:val="ConsPlusNormal"/>
        <w:ind w:firstLine="540"/>
        <w:jc w:val="both"/>
        <w:rPr>
          <w:rFonts w:ascii="Times New Roman" w:hAnsi="Times New Roman"/>
          <w:vertAlign w:val="superscript"/>
        </w:rPr>
      </w:pPr>
      <w:r w:rsidRPr="00FC1DC9">
        <w:rPr>
          <w:rFonts w:ascii="Times New Roman" w:hAnsi="Times New Roman"/>
          <w:vertAlign w:val="superscript"/>
        </w:rPr>
        <w:t>(свидетельство о рождении, свидетельство о смерти, свидетельство о заключении брака, свидетельство о расторжении брака,</w:t>
      </w:r>
    </w:p>
    <w:p w:rsidR="00FC1DC9" w:rsidRPr="00FC1DC9" w:rsidRDefault="00FC1DC9" w:rsidP="00FC1DC9">
      <w:pPr>
        <w:pStyle w:val="ConsPlusNormal"/>
        <w:ind w:firstLine="0"/>
        <w:jc w:val="both"/>
        <w:rPr>
          <w:rFonts w:ascii="Times New Roman" w:hAnsi="Times New Roman"/>
        </w:rPr>
      </w:pPr>
      <w:r w:rsidRPr="00FC1DC9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</w:t>
      </w:r>
      <w:r w:rsidRPr="00FC1DC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  <w:r w:rsidRPr="00FC1DC9">
        <w:rPr>
          <w:rFonts w:ascii="Times New Roman" w:hAnsi="Times New Roman"/>
        </w:rPr>
        <w:t>_.</w:t>
      </w:r>
    </w:p>
    <w:p w:rsidR="00FC1DC9" w:rsidRPr="00FC1DC9" w:rsidRDefault="00FC1DC9" w:rsidP="00FC1DC9">
      <w:pPr>
        <w:rPr>
          <w:vertAlign w:val="superscript"/>
          <w:lang w:eastAsia="en-US"/>
        </w:rPr>
      </w:pPr>
      <w:r w:rsidRPr="00FC1DC9">
        <w:rPr>
          <w:vertAlign w:val="superscript"/>
          <w:lang w:eastAsia="en-US"/>
        </w:rPr>
        <w:t>постановление о присвоении (изменении) адреса) (при наличии)</w:t>
      </w:r>
    </w:p>
    <w:p w:rsidR="00FC1DC9" w:rsidRPr="0065085D" w:rsidRDefault="00FC1DC9" w:rsidP="00FC1DC9">
      <w:pPr>
        <w:rPr>
          <w:lang w:eastAsia="en-US"/>
        </w:rPr>
      </w:pPr>
    </w:p>
    <w:p w:rsidR="00FC1DC9" w:rsidRPr="00FC1DC9" w:rsidRDefault="00FC1DC9" w:rsidP="00FC1DC9">
      <w:pPr>
        <w:rPr>
          <w:rFonts w:eastAsia="Arial"/>
          <w:sz w:val="24"/>
          <w:szCs w:val="24"/>
          <w:lang w:eastAsia="en-US"/>
        </w:rPr>
      </w:pPr>
      <w:r w:rsidRPr="00FC1DC9">
        <w:rPr>
          <w:rFonts w:eastAsia="Arial"/>
          <w:sz w:val="24"/>
          <w:szCs w:val="24"/>
          <w:lang w:eastAsia="en-US"/>
        </w:rPr>
        <w:t>К заявлению прилагаются следующие документы:</w:t>
      </w:r>
    </w:p>
    <w:p w:rsidR="00171542" w:rsidRPr="000D4C36" w:rsidRDefault="00171542" w:rsidP="00171542">
      <w:pPr>
        <w:ind w:firstLine="708"/>
        <w:rPr>
          <w:sz w:val="24"/>
          <w:szCs w:val="24"/>
          <w:lang w:eastAsia="en-US"/>
        </w:rPr>
      </w:pPr>
      <w:r w:rsidRPr="009C242B">
        <w:rPr>
          <w:rFonts w:eastAsiaTheme="minorHAnsi"/>
          <w:sz w:val="24"/>
          <w:szCs w:val="24"/>
          <w:lang w:eastAsia="en-US"/>
        </w:rPr>
        <w:t xml:space="preserve">    </w:t>
      </w: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171542" w:rsidRPr="00CC38F3" w:rsidTr="0003669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71542" w:rsidRPr="00CC38F3" w:rsidRDefault="00171542" w:rsidP="000366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542" w:rsidRPr="009C242B" w:rsidRDefault="00171542" w:rsidP="00036692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171542" w:rsidRPr="00CC38F3" w:rsidTr="0003669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71542" w:rsidRPr="00CC38F3" w:rsidRDefault="00171542" w:rsidP="000366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542" w:rsidRPr="009C242B" w:rsidRDefault="00171542" w:rsidP="00036692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171542" w:rsidRPr="00CC38F3" w:rsidRDefault="00171542" w:rsidP="00036692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171542" w:rsidRPr="00CC38F3" w:rsidTr="0003669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71542" w:rsidRPr="00CC38F3" w:rsidRDefault="00171542" w:rsidP="000366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542" w:rsidRPr="00CC38F3" w:rsidRDefault="00171542" w:rsidP="00036692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171542" w:rsidRPr="0026143A" w:rsidTr="00036692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71542" w:rsidRPr="00CC38F3" w:rsidRDefault="00171542" w:rsidP="000366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1542" w:rsidRPr="009C242B" w:rsidRDefault="00171542" w:rsidP="00036692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171542" w:rsidRPr="000D4C36" w:rsidRDefault="00171542" w:rsidP="00171542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171542" w:rsidRPr="000D4C36" w:rsidRDefault="00171542" w:rsidP="00171542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171542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</w:p>
    <w:p w:rsidR="00171542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</w:p>
    <w:p w:rsidR="00171542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</w:p>
    <w:p w:rsidR="00171542" w:rsidRPr="00B94747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171542" w:rsidRPr="00B94747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171542" w:rsidRPr="00B94747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171542" w:rsidRPr="00B94747" w:rsidRDefault="00171542" w:rsidP="00171542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171542" w:rsidRPr="00B94747" w:rsidRDefault="00171542" w:rsidP="0017154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171542" w:rsidRPr="00B94747" w:rsidRDefault="00171542" w:rsidP="0017154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171542" w:rsidRPr="00B94747" w:rsidRDefault="00171542" w:rsidP="00171542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171542" w:rsidRDefault="00171542" w:rsidP="00171542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1542" w:rsidRDefault="0017154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1542" w:rsidRDefault="0017154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1542" w:rsidRDefault="00171542" w:rsidP="008B1C11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171542" w:rsidSect="002C5B58">
      <w:footerReference w:type="default" r:id="rId16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E1" w:rsidRDefault="004238E1" w:rsidP="00A87015">
      <w:r>
        <w:separator/>
      </w:r>
    </w:p>
  </w:endnote>
  <w:endnote w:type="continuationSeparator" w:id="0">
    <w:p w:rsidR="004238E1" w:rsidRDefault="004238E1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E1" w:rsidRDefault="004238E1" w:rsidP="00A87015">
      <w:r>
        <w:separator/>
      </w:r>
    </w:p>
  </w:footnote>
  <w:footnote w:type="continuationSeparator" w:id="0">
    <w:p w:rsidR="004238E1" w:rsidRDefault="004238E1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236D"/>
    <w:rsid w:val="000B2F82"/>
    <w:rsid w:val="000C2C09"/>
    <w:rsid w:val="000C4249"/>
    <w:rsid w:val="000D3232"/>
    <w:rsid w:val="000E4A4A"/>
    <w:rsid w:val="00101055"/>
    <w:rsid w:val="001062C2"/>
    <w:rsid w:val="00111BAC"/>
    <w:rsid w:val="00115437"/>
    <w:rsid w:val="001311AB"/>
    <w:rsid w:val="00145F43"/>
    <w:rsid w:val="00146FF2"/>
    <w:rsid w:val="00171542"/>
    <w:rsid w:val="00174396"/>
    <w:rsid w:val="001747CC"/>
    <w:rsid w:val="00175FD5"/>
    <w:rsid w:val="00177005"/>
    <w:rsid w:val="0018479E"/>
    <w:rsid w:val="00187B7B"/>
    <w:rsid w:val="00194568"/>
    <w:rsid w:val="001946ED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7FB6"/>
    <w:rsid w:val="00262925"/>
    <w:rsid w:val="002737B9"/>
    <w:rsid w:val="002760DC"/>
    <w:rsid w:val="002770E7"/>
    <w:rsid w:val="00281096"/>
    <w:rsid w:val="00284983"/>
    <w:rsid w:val="0028550D"/>
    <w:rsid w:val="00290353"/>
    <w:rsid w:val="00292E7F"/>
    <w:rsid w:val="00292EBA"/>
    <w:rsid w:val="00294E25"/>
    <w:rsid w:val="002B1F63"/>
    <w:rsid w:val="002B5559"/>
    <w:rsid w:val="002B71A3"/>
    <w:rsid w:val="002C12C4"/>
    <w:rsid w:val="002C4005"/>
    <w:rsid w:val="002C5B58"/>
    <w:rsid w:val="002E0029"/>
    <w:rsid w:val="002F3CA4"/>
    <w:rsid w:val="003019CC"/>
    <w:rsid w:val="00303595"/>
    <w:rsid w:val="003039D3"/>
    <w:rsid w:val="00312C04"/>
    <w:rsid w:val="00313288"/>
    <w:rsid w:val="00326056"/>
    <w:rsid w:val="00334238"/>
    <w:rsid w:val="00334A92"/>
    <w:rsid w:val="0033711E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38E1"/>
    <w:rsid w:val="0042565D"/>
    <w:rsid w:val="004319FB"/>
    <w:rsid w:val="004331E4"/>
    <w:rsid w:val="00440A53"/>
    <w:rsid w:val="0044515E"/>
    <w:rsid w:val="00445708"/>
    <w:rsid w:val="0045172A"/>
    <w:rsid w:val="0045263A"/>
    <w:rsid w:val="004538CE"/>
    <w:rsid w:val="00456C63"/>
    <w:rsid w:val="0047143A"/>
    <w:rsid w:val="004739AA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7A2C"/>
    <w:rsid w:val="004E0696"/>
    <w:rsid w:val="004E5BA6"/>
    <w:rsid w:val="004E7E18"/>
    <w:rsid w:val="004F25B1"/>
    <w:rsid w:val="004F3D5E"/>
    <w:rsid w:val="0050488F"/>
    <w:rsid w:val="00504D74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521B2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35E3"/>
    <w:rsid w:val="00704A89"/>
    <w:rsid w:val="0070756F"/>
    <w:rsid w:val="00713D39"/>
    <w:rsid w:val="0072474D"/>
    <w:rsid w:val="00726621"/>
    <w:rsid w:val="00730ECD"/>
    <w:rsid w:val="007318B0"/>
    <w:rsid w:val="00731A87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91936"/>
    <w:rsid w:val="008A36E8"/>
    <w:rsid w:val="008B1C11"/>
    <w:rsid w:val="008B43E6"/>
    <w:rsid w:val="008B6E11"/>
    <w:rsid w:val="008C344E"/>
    <w:rsid w:val="008D25DB"/>
    <w:rsid w:val="008D5636"/>
    <w:rsid w:val="008F381D"/>
    <w:rsid w:val="00914D15"/>
    <w:rsid w:val="00916BFF"/>
    <w:rsid w:val="009245FE"/>
    <w:rsid w:val="009277F6"/>
    <w:rsid w:val="00931FC8"/>
    <w:rsid w:val="00954D49"/>
    <w:rsid w:val="00954DB2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C5C23"/>
    <w:rsid w:val="00CD1ADB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8069C"/>
    <w:rsid w:val="00D91551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0E0C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6DA"/>
    <w:rsid w:val="00F53BA5"/>
    <w:rsid w:val="00F54CCC"/>
    <w:rsid w:val="00F5552A"/>
    <w:rsid w:val="00F63442"/>
    <w:rsid w:val="00F71974"/>
    <w:rsid w:val="00F7623C"/>
    <w:rsid w:val="00F81C8A"/>
    <w:rsid w:val="00F946CE"/>
    <w:rsid w:val="00FA0E19"/>
    <w:rsid w:val="00FA57B3"/>
    <w:rsid w:val="00FA74B1"/>
    <w:rsid w:val="00FB6A36"/>
    <w:rsid w:val="00FC1DC9"/>
    <w:rsid w:val="00FC4DF7"/>
    <w:rsid w:val="00FD0218"/>
    <w:rsid w:val="00FD056D"/>
    <w:rsid w:val="00FD4162"/>
    <w:rsid w:val="00FE4D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RU-2\Desktop\&#1050;&#1059;&#1048;\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RU-2\Desktop\&#1050;&#1059;&#1048;\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5A2663E88864F8A70FB2E40C839B2DD1C197A4BDE6A2E05CECFA2BDFD4CF3CCD97669B48691B55DE2C0EA7N8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file:///C:\Users\IRU-2\Desktop\&#1050;&#1059;&#1048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65FF-1046-4C3E-B627-E742059B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2017-09-25T13:02:00Z</cp:lastPrinted>
  <dcterms:created xsi:type="dcterms:W3CDTF">2018-04-09T08:10:00Z</dcterms:created>
  <dcterms:modified xsi:type="dcterms:W3CDTF">2018-04-09T08:10:00Z</dcterms:modified>
</cp:coreProperties>
</file>