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4C" w:rsidRDefault="00765FA6" w:rsidP="0043201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201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Переписи населения не сразу стали такими, какими мы их привыкли видеть. Понадобилось больше 300 лет и три важных этапа развития.</w:t>
      </w:r>
      <w:r w:rsidRPr="00765FA6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66614B4" wp14:editId="0534FB0F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Западной Европе и США с конца семнадцатого века начинают переписывать население, но не все. В России по указу Петра I тоже проводятся «ревизии» населения. Вопросов в переписных листах мало, а данные потом обрабатывают много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C9034BB" wp14:editId="2343D25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второй половины девятнадцатого века переписи уже регулярно проходят по всей Европе, включая Россию, в Америке и в ряде стран Африки и Азии. А первые международные конгрессы статистиков определяют научные правила переписей, актуальные и поныне.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BE7FB82" wp14:editId="0DA8B02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 середины двадцатого века переписи охватывают практически все население мира, широко используются информационные технологии и счетные машины. Итоги переписей позволяют планировать и составлять прогнозы во всех областях нашей жизни.</w:t>
      </w:r>
    </w:p>
    <w:p w:rsidR="00432012" w:rsidRPr="00765FA6" w:rsidRDefault="00432012" w:rsidP="0043201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8314C" w:rsidTr="00765FA6">
        <w:trPr>
          <w:trHeight w:val="39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8314C" w:rsidRDefault="0068314C" w:rsidP="00765F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20505B" wp14:editId="17B794B1">
                  <wp:extent cx="2340000" cy="2340000"/>
                  <wp:effectExtent l="0" t="0" r="3175" b="3175"/>
                  <wp:docPr id="2" name="Рисунок 2" descr="https://sun9-44.userapi.com/c858520/v858520991/b3b2c/YIIuZoGbo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un9-44.userapi.com/c858520/v858520991/b3b2c/YIIuZoGbo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53B28" w:rsidRDefault="0068314C" w:rsidP="00765F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3B2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При Петре I прошло несколько подворных переписей — переписывали не людей, а «дворы», домохозяйства. Именно при Петре произошел поворот к </w:t>
            </w:r>
            <w:proofErr w:type="spellStart"/>
            <w:r w:rsidRPr="00753B2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подушевой</w:t>
            </w:r>
            <w:proofErr w:type="spellEnd"/>
            <w:r w:rsidRPr="00753B2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переписи населения, которая получила название ревизских сказок.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314C" w:rsidRDefault="0068314C" w:rsidP="00765F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«Сказка» здесь — от слова «сказано».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26 ноября 1718 г. император издал указ, которым, помимо прочего, предписывал: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«Взять сказки у всех, дать на год сроку, чтоб правдивые принесли, сколько у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которой деревне душ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мужеска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пола,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объявя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им то, что кто что утаит, то отдано будет тому, кто объявит о том».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Ос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новную работу выполняли не дворяне, а государственные служащие. Это стало свидетельством растущей зрелости государственного аппарата, который мог брать на себя все больше важных функций.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Современник первых трех ревизий М.В. Ломоносов в «Слове похвальном блаженные и вечно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достойныя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65FA6" w:rsidTr="00765FA6">
        <w:trPr>
          <w:trHeight w:val="1514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FA6" w:rsidRDefault="00765FA6" w:rsidP="00765F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памяти государю императору Петру Великому…» писал о первой ревизии, что Петр I «крайне приложил старание, как бы внутренние и внешние государственные заборы умно жить без народного разорения. И по врожденному своему просвещению усмотрел, что не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токмо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казне великая прибыль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впоследует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но и общее подданных спокойствие и безопасность единым учреждением утвердиться».___________________________________________________________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765FA6" w:rsidTr="00765FA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65FA6" w:rsidRDefault="00765FA6" w:rsidP="007804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30AFA" wp14:editId="3E78CDA5">
                  <wp:extent cx="2340000" cy="2340000"/>
                  <wp:effectExtent l="0" t="0" r="3175" b="3175"/>
                  <wp:docPr id="1" name="Рисунок 1" descr="https://sun1-22.userapi.com/g_FdHgqU-PqG_J_uSWvdg1UgwGWIaZiq7EOCgQ/L8LHzDefT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un1-22.userapi.com/g_FdHgqU-PqG_J_uSWvdg1UgwGWIaZiq7EOCgQ/L8LHzDefT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65FA6" w:rsidRDefault="00765FA6" w:rsidP="007804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65FA6" w:rsidRDefault="00765FA6" w:rsidP="00E420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3B2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Императрица Екатерина II вошла в историю, помимо прочего, благодаря удивительной внимательности к деталям в таком непростом деле, как управление страной. Проведение переписей или, как их тогда называли, ревизий — не исключение.</w:t>
            </w:r>
            <w:r w:rsidRPr="00753B2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Ревизию 1782-83 гг. организовали очень хорошо. Заранее были напечатаны и разосланы на места «сказки», формы переписных листов, причем их можно было присылать, а не подавать лично. Основная часть работ была закончена за несколько месяцев, рекордные для того времени сроки. Ревизия впервые охватила всю территорию страны, в том числе не так давно присоединенные области: Украину, Прибалтику и Выборг.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765FA6" w:rsidRDefault="00765FA6" w:rsidP="007804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8314C" w:rsidRDefault="0068314C" w:rsidP="006831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65FA6" w:rsidTr="00753B28">
        <w:trPr>
          <w:trHeight w:val="3918"/>
        </w:trPr>
        <w:tc>
          <w:tcPr>
            <w:tcW w:w="3936" w:type="dxa"/>
          </w:tcPr>
          <w:p w:rsidR="00765FA6" w:rsidRDefault="00765FA6" w:rsidP="006831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7E0A4E" wp14:editId="415E036A">
                  <wp:extent cx="2340000" cy="2340000"/>
                  <wp:effectExtent l="0" t="0" r="3175" b="3175"/>
                  <wp:docPr id="7" name="Рисунок 7" descr="https://sun9-13.userapi.com/c857236/v857236743/1b88d/xryVbZQN5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sun9-13.userapi.com/c857236/v857236743/1b88d/xryVbZQN5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765FA6" w:rsidRDefault="00765FA6" w:rsidP="00E420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3B2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Российские ученые исследовали статистику населения страны еще до первой полномасштабной переписи 1897 года. Одним из первопроходцев этой области был Михаил Васильевич Ломоносов.</w:t>
            </w:r>
            <w:r w:rsidRPr="00753B2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своих трудах он разбирал естественные факторы, которые влияют на демографию государства: структуру семей, миграцию и вопросы медицины.</w:t>
            </w:r>
          </w:p>
          <w:p w:rsidR="00765FA6" w:rsidRDefault="00765FA6" w:rsidP="00E420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Ломоносова волновало и несовершенство ревизий населения, которые практиковались с петровских времен, но носили частный характер. В 1760 году он разработал «Академическую анкету» с тридцатью вопросами для сбора статистических данных, характеризовавших отдельные районы и всю страну в целом. Ее можно считать прообразом переписного листа в современном понимании.</w:t>
            </w:r>
          </w:p>
          <w:p w:rsidR="00765FA6" w:rsidRDefault="00765FA6" w:rsidP="006831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65FA6" w:rsidRDefault="0068314C" w:rsidP="00E4206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Ломоносова волновало и несовершенство ревизий населения, которые практиковались с петровских времен, но носили частный характер. В 1760 году он разработал «Академическую анкету» с тридцатью вопросами для сбора статистических данных, характеризовавших отдельные районы и всю страну в целом. Ее можно считать прообразом переписного листа в современном понимании.</w:t>
      </w:r>
    </w:p>
    <w:p w:rsidR="0068314C" w:rsidRDefault="0068314C" w:rsidP="006831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1862 по 1917 в России провели от 150 до 200 городских или губернских местных переписей. Их качество не всегда было на высоте: ученые считают надежными данные 122 городских переписей и 16 губернских.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Местные переписи были своеобразной тренировкой перед переписью всероссийской. Например, в Санкт-Петербурге в 1864 году выяснили, как не нужно считать жителей: «Один из главных недостатков [переписи], как показал опыт, состоял именно в том, что в ней было допущено исчисление жителей по домам. Вследствие этого во множестве домов жители являлись внесенными в домовые листки в алфавитном порядке их домовых книг, часто без опроса лиц,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следовательно, с небрежным и гадательным заполнением тех граф, на которые домов</w:t>
      </w:r>
      <w:r w:rsidR="00F1393A">
        <w:rPr>
          <w:rFonts w:ascii="Arial" w:hAnsi="Arial" w:cs="Arial"/>
          <w:color w:val="000000"/>
          <w:sz w:val="20"/>
          <w:szCs w:val="20"/>
          <w:shd w:val="clear" w:color="auto" w:fill="FFFFFF"/>
        </w:rPr>
        <w:t>ые книги не могли дать ответа».</w:t>
      </w:r>
    </w:p>
    <w:p w:rsidR="00F1393A" w:rsidRDefault="0068314C" w:rsidP="0068314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Приморье к сбору сведений во время переписи населения Российской Империи 1897 года привлекли 2600 человек. На одного переписчика приходилось 86 жителей.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Переписчик должен был владеть грамотой, но таких было не много.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Поэтому в переписчики пошли все местные интеллигенты. Многие из них считали, что выполнение общественного долга платы не требует.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Окружной врач переписал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Гижиге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1360 человек и отказался от суточных и проездных «на пользу общему делу».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Сразу после переписи предварительные данные телеграфировали в Петербург. В регионе жили 223 тыс. человек. На 1 тыс. мужчин в Приморской области приходилось всего 550 женщин. Необычным оказался и сословный состав: 45 % населения были крестьянами и казаками, на 40% меньше, чем в среднем по стране.</w:t>
      </w:r>
    </w:p>
    <w:p w:rsidR="0068314C" w:rsidRDefault="0068314C" w:rsidP="00F1393A">
      <w:pPr>
        <w:shd w:val="clear" w:color="auto" w:fill="FFFFFF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1393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Данные переписи обрабатывали до 1905 года. Итоги издали в двух томах, а данные по губерниям и областям — в 119 выпусках.</w:t>
      </w:r>
      <w:r w:rsidR="00F1393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F1393A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ачалась война, затем грянули две революции и было уже не до статистики. В итоге перепись, уже советскую, провели большевики в 1920 году.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8314C" w:rsidRDefault="0068314C" w:rsidP="0068314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 декабря 1926 года началась первая Всесоюзная перепись населения.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время можно назвать золотым для отечественной статистики. Страна приходила в себя после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череды войн и революций. А правительству, чтобы создавать планы развития страны, нужна была подробная информация буквально обо всем. Именно тогда с легкой руки Ильфа и Петрова в романе «Двенадцать стульев» появилось крылатое выражение «статистика знает все».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Во время подготовки переписи 1926 года выдающиеся статистики Василий Михайловский и Олимпий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Квиткин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выработали научные принципы, которые легли в основу последующих переписей населения.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Много внимания во время переписи 1926 года уделялось вопросам занятости и выяснению источника средств к существованию. В отдельную категорию выделили подростков 10–14 лет и фиксировали их занятость и род деятельности. В основном подростки оказывали помощь родителям в домохозяйствах, но встречались и рабочие.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Деклассированные элементы, проживающие на нетрудовые доходы, также заняли свое место во всесоюзном ранжировании. Надо сказать, что в то время они являлись более сознательными гражданами и в графе «основная профессия» могли честно написать «вор-рецидивист».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Данные переписи стали основой для разработки первых пятилетних планов развития народного хозяйства и, в конечном счете, индустриализации. «Без сведений, собранных в ходе переписи населения 1926 года, было бы просто непонятно, где размещать эти предприятия и кто будет на них работать. Созданный в те годы промышленный потенциал помог нашему народу одержать победу в Великой Отечественной войне», — рассказал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Медиаофису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Всероссийской переписи населения 2020 года директор Института региона</w:t>
      </w:r>
      <w:r w:rsidR="00432012">
        <w:rPr>
          <w:rFonts w:ascii="Arial" w:hAnsi="Arial" w:cs="Arial"/>
          <w:color w:val="000000"/>
          <w:sz w:val="20"/>
          <w:szCs w:val="20"/>
          <w:shd w:val="clear" w:color="auto" w:fill="FFFFFF"/>
        </w:rPr>
        <w:t>льных проблем Дмитрий Журавлев.</w:t>
      </w:r>
    </w:p>
    <w:p w:rsidR="00432012" w:rsidRPr="00432012" w:rsidRDefault="00432012" w:rsidP="0043201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432012">
        <w:rPr>
          <w:rFonts w:ascii="Arial" w:eastAsia="Calibri" w:hAnsi="Arial" w:cs="Arial"/>
          <w:sz w:val="20"/>
          <w:szCs w:val="20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432012">
        <w:rPr>
          <w:rFonts w:ascii="Arial" w:eastAsia="Calibri" w:hAnsi="Arial" w:cs="Arial"/>
          <w:sz w:val="20"/>
          <w:szCs w:val="20"/>
        </w:rPr>
        <w:t>Госуслуг</w:t>
      </w:r>
      <w:proofErr w:type="spellEnd"/>
      <w:r w:rsidRPr="00432012">
        <w:rPr>
          <w:rFonts w:ascii="Arial" w:eastAsia="Calibri" w:hAnsi="Arial" w:cs="Arial"/>
          <w:sz w:val="20"/>
          <w:szCs w:val="2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68314C" w:rsidRDefault="0068314C" w:rsidP="0068314C"/>
    <w:p w:rsidR="00105636" w:rsidRDefault="00105636"/>
    <w:sectPr w:rsidR="0010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29"/>
    <w:rsid w:val="00053929"/>
    <w:rsid w:val="00105636"/>
    <w:rsid w:val="00432012"/>
    <w:rsid w:val="0068314C"/>
    <w:rsid w:val="00753B28"/>
    <w:rsid w:val="00765FA6"/>
    <w:rsid w:val="00C62EAF"/>
    <w:rsid w:val="00E4206E"/>
    <w:rsid w:val="00F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2020-12-21T13:59:00Z</cp:lastPrinted>
  <dcterms:created xsi:type="dcterms:W3CDTF">2020-12-21T14:00:00Z</dcterms:created>
  <dcterms:modified xsi:type="dcterms:W3CDTF">2020-12-21T14:00:00Z</dcterms:modified>
</cp:coreProperties>
</file>