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C" w:rsidRPr="00B5436C" w:rsidRDefault="00B5436C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6C">
        <w:rPr>
          <w:rFonts w:ascii="Times New Roman" w:hAnsi="Times New Roman" w:cs="Times New Roman"/>
          <w:sz w:val="28"/>
          <w:szCs w:val="28"/>
        </w:rPr>
        <w:t>Кадастровая палата разъяснила порядок согла</w:t>
      </w:r>
      <w:r w:rsidR="0024710E">
        <w:rPr>
          <w:rFonts w:ascii="Times New Roman" w:hAnsi="Times New Roman" w:cs="Times New Roman"/>
          <w:sz w:val="28"/>
          <w:szCs w:val="28"/>
        </w:rPr>
        <w:t>сования границ дачных участков</w:t>
      </w:r>
    </w:p>
    <w:p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132243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>№ 150-ФЗ</w:t>
      </w:r>
      <w:r w:rsidR="00AC0EC4">
        <w:rPr>
          <w:rFonts w:ascii="Times New Roman" w:hAnsi="Times New Roman" w:cs="Times New Roman"/>
          <w:sz w:val="28"/>
          <w:szCs w:val="28"/>
        </w:rPr>
        <w:t>,</w:t>
      </w:r>
      <w:r w:rsidR="004011A8">
        <w:rPr>
          <w:rFonts w:ascii="Times New Roman" w:hAnsi="Times New Roman" w:cs="Times New Roman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 w:rsidR="004011A8">
        <w:rPr>
          <w:rFonts w:ascii="Times New Roman" w:hAnsi="Times New Roman" w:cs="Times New Roman"/>
          <w:sz w:val="28"/>
          <w:szCs w:val="28"/>
        </w:rPr>
        <w:t>,</w:t>
      </w:r>
      <w:r w:rsidR="004011A8" w:rsidRPr="004011A8">
        <w:rPr>
          <w:rFonts w:ascii="Times New Roman" w:hAnsi="Times New Roman" w:cs="Times New Roman"/>
          <w:sz w:val="28"/>
          <w:szCs w:val="28"/>
        </w:rPr>
        <w:t xml:space="preserve"> </w:t>
      </w:r>
      <w:r w:rsidR="004011A8">
        <w:rPr>
          <w:rFonts w:ascii="Times New Roman" w:hAnsi="Times New Roman" w:cs="Times New Roman"/>
          <w:sz w:val="28"/>
          <w:szCs w:val="28"/>
        </w:rPr>
        <w:t>вступающий в силу 16 сентября 2019 года,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7A535D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430E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F6624B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2D088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</w:t>
      </w:r>
      <w:r w:rsidR="00F34C28">
        <w:rPr>
          <w:rFonts w:ascii="Times New Roman" w:hAnsi="Times New Roman" w:cs="Times New Roman"/>
          <w:sz w:val="28"/>
          <w:szCs w:val="28"/>
        </w:rPr>
        <w:lastRenderedPageBreak/>
        <w:t xml:space="preserve">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>самого собственника, так и на основании государственных или муниципальных контрактов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r w:rsidR="009849A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FF56D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194F3F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C37411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2B29F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:rsidR="00B72595" w:rsidRPr="00A90A20" w:rsidRDefault="00120986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 w:rsidDel="00120986">
        <w:rPr>
          <w:rFonts w:ascii="Times New Roman" w:hAnsi="Times New Roman" w:cs="Times New Roman"/>
          <w:sz w:val="28"/>
          <w:szCs w:val="28"/>
        </w:rPr>
        <w:t xml:space="preserve"> 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="0014619F" w:rsidRPr="00A90A20">
        <w:rPr>
          <w:rFonts w:ascii="Times New Roman" w:hAnsi="Times New Roman" w:cs="Times New Roman"/>
          <w:sz w:val="28"/>
          <w:szCs w:val="28"/>
        </w:rPr>
        <w:t>.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14619F" w:rsidRPr="00A9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203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A90A2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A90A2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6E3254" w:rsidRPr="00E042D4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A434D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:rsidR="00A434D2" w:rsidRPr="00A90A20" w:rsidRDefault="00A434D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34D2" w:rsidRPr="00A90A20" w:rsidSect="005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5624C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4710E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11A8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3821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3F69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2EE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C0EC4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37F5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C023-85C1-4CA4-A9D7-E703834B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ESSosedkina</cp:lastModifiedBy>
  <cp:revision>10</cp:revision>
  <cp:lastPrinted>2019-06-27T06:54:00Z</cp:lastPrinted>
  <dcterms:created xsi:type="dcterms:W3CDTF">2019-07-10T06:23:00Z</dcterms:created>
  <dcterms:modified xsi:type="dcterms:W3CDTF">2019-07-10T07:28:00Z</dcterms:modified>
</cp:coreProperties>
</file>