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B5" w:rsidRPr="007661B5" w:rsidRDefault="007661B5" w:rsidP="007661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</w:t>
      </w: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Администрации города</w:t>
      </w:r>
    </w:p>
    <w:p w:rsidR="007661B5" w:rsidRPr="007661B5" w:rsidRDefault="007661B5" w:rsidP="00766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11.08.2014  № 981 </w:t>
      </w:r>
    </w:p>
    <w:p w:rsidR="007661B5" w:rsidRPr="007661B5" w:rsidRDefault="007661B5" w:rsidP="007661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ИЗМЕНЕНИЯ, </w:t>
      </w:r>
    </w:p>
    <w:p w:rsidR="007661B5" w:rsidRPr="007661B5" w:rsidRDefault="007661B5" w:rsidP="007661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вносимые в приложение № 1 к постановлению </w:t>
      </w:r>
    </w:p>
    <w:p w:rsidR="007661B5" w:rsidRPr="007661B5" w:rsidRDefault="007661B5" w:rsidP="007661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Новошахтинска от 19.04.2013 № 446</w:t>
      </w:r>
    </w:p>
    <w:p w:rsidR="007661B5" w:rsidRPr="007661B5" w:rsidRDefault="007661B5" w:rsidP="007661B5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«Об утверждении Плана мероприятий («дорожной карты»)</w:t>
      </w:r>
    </w:p>
    <w:p w:rsidR="007661B5" w:rsidRPr="007661B5" w:rsidRDefault="007661B5" w:rsidP="007661B5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«Изменения в отраслях социальной сферы, направленные</w:t>
      </w:r>
    </w:p>
    <w:p w:rsidR="007661B5" w:rsidRPr="007661B5" w:rsidRDefault="007661B5" w:rsidP="007661B5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на повышение эффективности сферы культуры в городе Новошахтинске» (далее-План)</w:t>
      </w:r>
    </w:p>
    <w:p w:rsidR="007661B5" w:rsidRPr="007661B5" w:rsidRDefault="007661B5" w:rsidP="007661B5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35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    1. Раздел 3 изложить в следующей редакции:</w:t>
      </w:r>
    </w:p>
    <w:p w:rsidR="007661B5" w:rsidRPr="007661B5" w:rsidRDefault="007661B5" w:rsidP="007661B5">
      <w:pPr>
        <w:widowControl w:val="0"/>
        <w:spacing w:after="0" w:line="235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«3. Целевые показатели (индикаторы) развития сферы</w:t>
      </w:r>
    </w:p>
    <w:p w:rsidR="007661B5" w:rsidRPr="007661B5" w:rsidRDefault="007661B5" w:rsidP="007661B5">
      <w:pPr>
        <w:widowControl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культуры и меры, обеспечивающие их достижение</w:t>
      </w:r>
    </w:p>
    <w:p w:rsidR="007661B5" w:rsidRPr="007661B5" w:rsidRDefault="007661B5" w:rsidP="007661B5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3.1.1. Увеличение количества посещений театральных мероприятий </w:t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(по сравнению с предыдущим годом):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3.1.2. Коэффициент динамики количества библиографических записей муниципальных библиотек города Новошахтинска в сводном электронном каталоге библиотек Ростовской области (по сравнению с  предыдущим годом): 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(коэффициент динамики)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35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</w:tbl>
    <w:p w:rsidR="007661B5" w:rsidRPr="007661B5" w:rsidRDefault="007661B5" w:rsidP="007661B5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35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3.1.3. 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собственности:</w:t>
      </w:r>
    </w:p>
    <w:p w:rsidR="007661B5" w:rsidRPr="007661B5" w:rsidRDefault="007661B5" w:rsidP="007661B5">
      <w:pPr>
        <w:widowControl w:val="0"/>
        <w:spacing w:after="0" w:line="228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bCs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1436"/>
        <w:gridCol w:w="1436"/>
        <w:gridCol w:w="1436"/>
        <w:gridCol w:w="1436"/>
        <w:gridCol w:w="1437"/>
        <w:gridCol w:w="1437"/>
      </w:tblGrid>
      <w:tr w:rsidR="007661B5" w:rsidRPr="007661B5" w:rsidTr="0025129F">
        <w:tc>
          <w:tcPr>
            <w:tcW w:w="162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2012 год</w:t>
              </w:r>
            </w:smartTag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2013 год</w:t>
              </w:r>
            </w:smartTag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год</w:t>
              </w:r>
            </w:smartTag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год</w:t>
              </w:r>
            </w:smartTag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2016 год</w:t>
              </w:r>
            </w:smartTag>
          </w:p>
        </w:tc>
        <w:tc>
          <w:tcPr>
            <w:tcW w:w="1368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2017 год</w:t>
              </w:r>
            </w:smartTag>
          </w:p>
        </w:tc>
        <w:tc>
          <w:tcPr>
            <w:tcW w:w="1368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год</w:t>
              </w:r>
            </w:smartTag>
          </w:p>
        </w:tc>
      </w:tr>
      <w:tr w:rsidR="007661B5" w:rsidRPr="007661B5" w:rsidTr="0025129F">
        <w:tc>
          <w:tcPr>
            <w:tcW w:w="162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67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68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68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</w:t>
            </w:r>
          </w:p>
        </w:tc>
      </w:tr>
    </w:tbl>
    <w:p w:rsidR="007661B5" w:rsidRPr="007661B5" w:rsidRDefault="007661B5" w:rsidP="007661B5">
      <w:pPr>
        <w:widowControl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3.1.4. Доля экспонирующихся музейных предметов в общем количестве музейных предметов основного фонда: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rPr>
          <w:jc w:val="center"/>
        </w:trPr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rPr>
          <w:jc w:val="center"/>
        </w:trPr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3.1.5. Посещаемость муниципального музея: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(посещений в год, тыс. человек)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pacing w:val="-6"/>
          <w:sz w:val="24"/>
          <w:szCs w:val="24"/>
          <w:lang w:eastAsia="ru-RU"/>
        </w:rPr>
        <w:t>3.1.6. Увеличение численности участников культурно-досуговых мероприятий</w:t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(по сравнению с предыдущим годом):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3.1.7. Доля муниципальных библиотек, подключенных к информационно-коммуникационной сети «Интернет», в общем количестве муниципальных библиотек: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3.1.8. Количество обменных выставок между муниципальным бюджетным учреждением культуры «Новошахтинский историко-краеведческий музей» города Новошахтинска и другими музеями Ростовской области: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(единиц)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3.1.9. Присуждение премий представителям творческой интеллигенции и назначение стипендий одаренным обучающимся образовательных учреждений культуры и искусства: 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(человек)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3.1.10. Увеличение посещаемости учреждений культуры (по отношению к 2013 году):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3.1.11. Увеличение количества предоставляемых дополнительных услуг учреждениями культуры (по отношению к 2013 году):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3.1.12. Оптимизация численности работников учреждений культуры: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6"/>
        <w:gridCol w:w="1505"/>
        <w:gridCol w:w="1506"/>
        <w:gridCol w:w="1506"/>
        <w:gridCol w:w="1506"/>
        <w:gridCol w:w="1506"/>
        <w:gridCol w:w="1285"/>
      </w:tblGrid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</w:tcPr>
          <w:p w:rsidR="007661B5" w:rsidRPr="007661B5" w:rsidRDefault="007661B5" w:rsidP="007661B5">
            <w:pPr>
              <w:widowControl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3.2.1. 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 в соответствии с </w:t>
      </w:r>
      <w:hyperlink r:id="rId6" w:history="1">
        <w:r w:rsidRPr="007661B5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pacing w:val="-8"/>
          <w:sz w:val="24"/>
          <w:szCs w:val="24"/>
          <w:lang w:eastAsia="ru-RU"/>
        </w:rPr>
        <w:t>3.2.3. Обновление квалификационных требований к работникам, переобучение,</w:t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квалификации, привлечение квалифицированных кадров, сохранение и развитие кадрового потенциала работников сферы культуры.</w:t>
      </w:r>
    </w:p>
    <w:p w:rsidR="007661B5" w:rsidRPr="007661B5" w:rsidRDefault="007661B5" w:rsidP="0076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3.2.4. Реорганизация неэффективных учреждений культуры, оптимизация и реструктуризация учреждений культуры.».</w:t>
      </w:r>
    </w:p>
    <w:p w:rsidR="007661B5" w:rsidRPr="007661B5" w:rsidRDefault="007661B5" w:rsidP="007661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2. Пункт 4.2 раздела 4 изложить в следующей редакции: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«4.2.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7661B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Федерации от 07.05.2012 № 597 «О мероприятиях по реализации государственной</w:t>
      </w: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политики», и средней заработной платы в Ростовской области: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41"/>
        <w:gridCol w:w="1742"/>
        <w:gridCol w:w="1452"/>
        <w:gridCol w:w="1451"/>
        <w:gridCol w:w="1723"/>
        <w:gridCol w:w="2211"/>
      </w:tblGrid>
      <w:tr w:rsidR="007661B5" w:rsidRPr="007661B5" w:rsidTr="0025129F"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8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0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rPr>
          <w:trHeight w:val="70"/>
        </w:trPr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18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8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0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4.2.2. Среднемесячная заработная плата работников муниципальных учреждений культуры: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41"/>
        <w:gridCol w:w="1742"/>
        <w:gridCol w:w="1452"/>
        <w:gridCol w:w="1451"/>
        <w:gridCol w:w="1597"/>
        <w:gridCol w:w="2337"/>
      </w:tblGrid>
      <w:tr w:rsidR="007661B5" w:rsidRPr="007661B5" w:rsidTr="0025129F"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7661B5" w:rsidRPr="007661B5" w:rsidTr="0025129F"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13493,2</w:t>
            </w:r>
          </w:p>
        </w:tc>
        <w:tc>
          <w:tcPr>
            <w:tcW w:w="17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15452,0</w:t>
            </w:r>
          </w:p>
        </w:tc>
        <w:tc>
          <w:tcPr>
            <w:tcW w:w="1418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19152,0</w:t>
            </w:r>
          </w:p>
        </w:tc>
        <w:tc>
          <w:tcPr>
            <w:tcW w:w="141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23194,0</w:t>
            </w:r>
          </w:p>
        </w:tc>
        <w:tc>
          <w:tcPr>
            <w:tcW w:w="1560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31019,0</w:t>
            </w:r>
          </w:p>
        </w:tc>
        <w:tc>
          <w:tcPr>
            <w:tcW w:w="228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34028,0».</w:t>
            </w:r>
          </w:p>
        </w:tc>
      </w:tr>
    </w:tbl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8" w:type="dxa"/>
        <w:tblInd w:w="-34" w:type="dxa"/>
        <w:tblLook w:val="0000" w:firstRow="0" w:lastRow="0" w:firstColumn="0" w:lastColumn="0" w:noHBand="0" w:noVBand="0"/>
      </w:tblPr>
      <w:tblGrid>
        <w:gridCol w:w="5076"/>
        <w:gridCol w:w="236"/>
        <w:gridCol w:w="236"/>
        <w:gridCol w:w="1220"/>
        <w:gridCol w:w="1200"/>
        <w:gridCol w:w="1180"/>
        <w:gridCol w:w="1180"/>
      </w:tblGrid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Ю.А. Лубенцов</w:t>
            </w:r>
          </w:p>
        </w:tc>
      </w:tr>
    </w:tbl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61B5" w:rsidRPr="007661B5" w:rsidSect="00900311">
          <w:footerReference w:type="even" r:id="rId7"/>
          <w:pgSz w:w="11907" w:h="16840"/>
          <w:pgMar w:top="360" w:right="567" w:bottom="180" w:left="1134" w:header="720" w:footer="720" w:gutter="0"/>
          <w:cols w:space="720"/>
        </w:sect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3. Раздел 5 изложить в следующей редакции: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«5. Основные мероприятия, направленные на повышение эффективности и качества 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предоставляемых услуг в сфере культуры, связанные с переходом на эффективный контракт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3603"/>
        <w:gridCol w:w="2057"/>
        <w:gridCol w:w="2687"/>
        <w:gridCol w:w="1515"/>
      </w:tblGrid>
      <w:tr w:rsidR="007661B5" w:rsidRPr="007661B5" w:rsidTr="0025129F">
        <w:tc>
          <w:tcPr>
            <w:tcW w:w="618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26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1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955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1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</w:tr>
    </w:tbl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3"/>
        <w:gridCol w:w="3602"/>
        <w:gridCol w:w="2057"/>
        <w:gridCol w:w="2687"/>
        <w:gridCol w:w="1516"/>
      </w:tblGrid>
      <w:tr w:rsidR="007661B5" w:rsidRPr="007661B5" w:rsidTr="0025129F">
        <w:trPr>
          <w:tblHeader/>
        </w:trPr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661B5" w:rsidRPr="007661B5" w:rsidTr="0025129F">
        <w:tc>
          <w:tcPr>
            <w:tcW w:w="10485" w:type="dxa"/>
            <w:gridSpan w:val="5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Совершенствование системы оплаты труда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показателей эффективности деятельности подведомственных отделу культуры Администрации города учреждений культуры и их руководителей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год, 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утверждение учреждениями культуры планов мероприятий по повышению эффективности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 (по согласованию с министерством культуры Ростовской области). Оказание  методической и консультативной помощи муниципальным  учреждениям по разработке показателей эффективности деятельности работников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нормативные акты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России от 30.09.2013 № 504 «Об утверждении методических рекомендаций по разработке систем нормирования труда в государственных (муниципальных)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учреждениях»</w:t>
            </w:r>
          </w:p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локальные нормативные акты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утвержденных типовых отраслевых норм труда и формирование штатной численности работников учреждений культуры: библиотек, музея, культурно-досуговых учреждений и театра на основе методических рекомендаций Минкультуры России с учетом необходимости качественного оказания муниципальных услуг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нормативные акты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2014-2018 годы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уровня и динамики заработной платы работников муниципальных учреждений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(избытка), с целью недопущения отставания от установленных целевых показателей динамики повышения заработной платы работников муниципальных учреждений культуры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 в дополнительных ресурсах на повышение заработной платы работников муниципальных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нормативно-подушевого финансирования в муниципальных учреждениях культуры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нормативные акты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поиску внутренних резервов учреждений культуры для повышения заработной платы:</w:t>
            </w:r>
          </w:p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 штатной численности учреждений путем вывода непрофильных функций на аутсорсинг;</w:t>
            </w:r>
          </w:p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исключение дублирующих структур в соответствии с методическими рекомендациями;</w:t>
            </w:r>
          </w:p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примерных положений по оплате труда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муниципальных учреждений культуры, связанных с повышением оплаты  труда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2015-2018 годы</w:t>
            </w:r>
          </w:p>
        </w:tc>
      </w:tr>
      <w:tr w:rsidR="007661B5" w:rsidRPr="007661B5" w:rsidTr="0025129F">
        <w:tc>
          <w:tcPr>
            <w:tcW w:w="10485" w:type="dxa"/>
            <w:gridSpan w:val="5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Создание прозрачного механизма </w:t>
            </w:r>
          </w:p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 труда руководителей учреждений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утверждение методики оценки деятельности руководителя муниципального учреждения культуры для расчета премии и стимулирующей надбавки к должностному окладу, предусматривающей в качестве одного из критериев оценки деятельности руководителя для осуществления стимулирующих выплат соотношение средней заработной платы работников данного учреждения со средней заработной платой в Ростовской области, и проведение мониторинга за соблюдением данного требования в учреждении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 должностей, и размещение их в информационно- телекоммуникационной сети «Интернет» 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доходах, размещение  в информационно-телекоммуникационной сети «Интернет» 100-процентных сведений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проверок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приведению трудовых договоров руководителей муниципальных учреждений в соответствие с типовой формой трудового договора, утвержденной постановлением Правительства Российской Федерации от  12.04.2013 № 329 «О типовой форме трудового договора с  руководителем государственного (муниципального) учреждения»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трудовые договоры (дополнительные соглашения) (100 процентов)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2013 году 100 процентов, далее- вновь принятых руководителей 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установленных соотношений средней заработной платы руководителей учреждений и средней заработной платы работников муниципальных учреждений в кратности от 1 до 6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отдела культуры Администрации города поддержание соотношения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10485" w:type="dxa"/>
            <w:gridSpan w:val="5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Развитие кадрового потенциала </w:t>
            </w:r>
          </w:p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учреждений культуры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Внедрение показателей эффективности деятельности работников муниципальных учреждений культуры и заключение трудовых договоров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трудовые договоры с работниками муниципальных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 годы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П</w:t>
            </w:r>
            <w:r w:rsidRPr="007661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овышение квалификации, переподготовка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с целью обеспечения соответствия работников современным требованиям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профессионального уровня персонала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аттестации работников муниципальных учреждений культуры с последующим их переводом на «эффективный контракт» в соответствии с рекомендациями, утвержденными приказом Минтруда России от 26.04.2013 № 167н «Об утверждении рекомендаций по оформлению трудовых отношений с работниками государственного (муниципального) учреждения при введении эффективного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контракта»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 качества предоставляемых услуг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– 2015 годы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профессиональных стандартов в сфере культуры, актуализация требований и компетенций, необходимых для оказания муниципальных услуг (должностных инструкций, регламентов), организация соответствующей профессиональной переподготовки и повышение квалификации работников муниципальных учреждений, наряду с совершенствованием системы оплаты труда  и разработкой системы оценки эффективности деятельности работников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культуры Администрации города локальные нормативные акты учреждений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2015-2018 годы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основных положений о порядке формирования аттестационных комиссий, проведения аттестации работников муниципальных учреждений культуры, осуществляющих деятельность для органов местного самоуправления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2014 г</w:t>
              </w:r>
            </w:smartTag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персонал учреждений культуры, подведомственных  </w:t>
            </w:r>
            <w:r w:rsidRPr="007661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отделу культуры Администрации города, с учетом предельной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расходов на оплату их труда в фонде оплаты труда учреждения – не более 40 процентов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культуры Администрации города, поддержание установленной доли расходов на оплату труда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соотношения средней заработной платы основного и вспомогательного персонала муниципальных учреждений до 1:0,7-0,5 с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учетом типа учреждения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в отдел культуры, поддержание соотношения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начиная с 2015 года</w:t>
            </w:r>
          </w:p>
        </w:tc>
      </w:tr>
      <w:tr w:rsidR="007661B5" w:rsidRPr="007661B5" w:rsidTr="0025129F">
        <w:tc>
          <w:tcPr>
            <w:tcW w:w="10485" w:type="dxa"/>
            <w:gridSpan w:val="5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Независимая оценка качества работы муниципальных учреждений культуры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координации работы по реализации в городе независимой системы оценки качества работы муниципальных учреждений культуры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общественного совета по проведению независимой оценки качества работы муниципальных учреждений культуры и составлению рейтингов с участием общественных организаций, профессиональных сообществ и независимых экспертов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города о создании общественного совета, утверждение его состава и положения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организационно-технического сопровождения деятельности муниципальных учреждений культуры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города о создании общественного совета, утверждение его состава и положения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участия социально ориентированных некоммерческих организаций в проведении независимой оценки 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отдел культуры Администрации города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 ориентированные некоммерческие организации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муниципальных учреждений культуры,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официальных сайтов учреждений культуры, размещение информации на сайтах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города, муниципальные учреждения, заинтересованные организации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работы муниципальных учреждений культуры, формирование независимой оценки качества работы муниципальных учреждений культуры, составление рейтингов их деятельности в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принятыми нормативными и методическими документами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публикация рейтингов деятельности, разработка и утверждение планов работы учреждений культуры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информационно-телекоммуникацион-ной сети «Интернет», о функционировании независимой оценки качества муниципальных учреждений культуры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функционирования независимой системы оценки качества работы муниципальных учреждений культуры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реализации независимой системы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10485" w:type="dxa"/>
            <w:gridSpan w:val="5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07.05.2012 № 597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мониторинга реализации мероприятий по повышению оплаты труда, предусмотренных в «дорожной карте»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министерство культуры Ростовской области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 разъяснительной работы в трудовых коллективах с участием профсоюзных организаций о мероприятиях, реализуемых в рамках «дорожной карты», в том числе мерах  по повышению оплаты труда, с привлечением широкой общественности и профсоюзов, в том числе проведение конференций, семинаров, встреч, собраний трудовых коллективов; анализ обращений работников учреждений, ответы на вопросы, в том числе в средствах массовой информации  и на сайтах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семинаров, совещаний; публикации в средствах массовой информации и в информационно-коммуникационной сети «Интернет»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профсоюзные организации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Обеспечение представления  форм федерального статистического наблюдения за </w:t>
            </w:r>
            <w:r w:rsidRPr="007661B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lastRenderedPageBreak/>
              <w:t>показателями заработной платы категорий работников, повышение оплаты труда которых предусмотрено Указом Президента Российской Федерации от 07.05.2012 № 597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формы статистического наблюдения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Мониторинг реализации органами местного самоуправления Ростовской области поэтапного совершенствования системы оплаты труда в муниципальных учреждениях на 2012-2018 годы, утвержденной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министерство культуры Ростовской области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10 января и 10 июля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Разработка и утверждение форм мониторинга  реализации мероприятий и достижения целевых показателей (индикаторов) «дорожной карты»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5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</w:t>
            </w:r>
          </w:p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культуры Администрации города 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Проведение мониторинга  реализации мероприятий, предусмотренных «дорожной картой», и достижения целевых показателей (индикаторов) «дорожной карты»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отдела культуры в министерство культуры Ростовской области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661B5" w:rsidRPr="007661B5" w:rsidTr="0025129F">
        <w:tc>
          <w:tcPr>
            <w:tcW w:w="10485" w:type="dxa"/>
            <w:gridSpan w:val="5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Сопровождение «дорожной карты»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муниципальными учреждениями, </w:t>
            </w:r>
            <w:r w:rsidRPr="007661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подведомственными отделу культуры Администрации города,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планов мероприятий по повышению эффективности деятельности учреждений в части оказания муниципальных услуг на основе целевых показателей деятельности учреждений, совершенствованию системы оплаты труда, включая мероприятия по повышению оплаты труда 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локальный акт учреждения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учреждения, подведомственные отделу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61B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постоянно действующей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рабочей группы отдела культуры по оценке реализации мероприятий по повышению оплаты труда работников муниципальных учреждений культуры, и оценке результатов реализации «дорожной карты»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протоколы заседания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рабочей группы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культуры Администрации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потребности в дополнительных ресурсах на повышение заработной платы работников учреждений культуры с учетом возможного привлечения  не менее трети средств за счет реорганизации неэффективных учреждений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министерство культуры Ростовской области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 кадров, с целью недопущения отставания от установленных Планом мероприятий («дорожной картой»)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28.12.2012                  № 2606-р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информация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661B5" w:rsidRPr="007661B5" w:rsidTr="0025129F">
        <w:tc>
          <w:tcPr>
            <w:tcW w:w="623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602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потребности и учет при формировании бюджета расходов на повышение заработной платы муниципальных работников в соответствии с планами-графиками реализации Указа Президента Российской Федерации от 07.05.2012 № 597, в части повышения оплаты труда в соответствии с Методикой оценки </w:t>
            </w: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потребности в дополнительных финансовых ресурсах в соответствии с Указом, с учетом возможного привлечения  не менее трети средств за счет реорганизации неэффективных учреждений</w:t>
            </w:r>
          </w:p>
        </w:tc>
        <w:tc>
          <w:tcPr>
            <w:tcW w:w="205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проекты муниципальных правовых актов, устанавливающих расходные обязательства</w:t>
            </w:r>
          </w:p>
        </w:tc>
        <w:tc>
          <w:tcPr>
            <w:tcW w:w="2687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</w:p>
        </w:tc>
        <w:tc>
          <w:tcPr>
            <w:tcW w:w="1516" w:type="dxa"/>
          </w:tcPr>
          <w:p w:rsidR="007661B5" w:rsidRPr="007661B5" w:rsidRDefault="007661B5" w:rsidP="007661B5">
            <w:pPr>
              <w:widowControl w:val="0"/>
              <w:spacing w:after="0" w:line="233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ежегодно»</w:t>
            </w:r>
          </w:p>
        </w:tc>
      </w:tr>
    </w:tbl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       4. Дополнить План разделом 6 следующего содержания: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«6. Основные показатели реализации Плана мероприятий («дорожной карты»).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ab/>
        <w:t>Изменения в отраслях социальной сферы, направленные на повышение эффективности сферы культуры в Ростовской области, приведены согласно приложению.».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040" w:type="dxa"/>
        <w:tblInd w:w="93" w:type="dxa"/>
        <w:tblLook w:val="0000" w:firstRow="0" w:lastRow="0" w:firstColumn="0" w:lastColumn="0" w:noHBand="0" w:noVBand="0"/>
      </w:tblPr>
      <w:tblGrid>
        <w:gridCol w:w="5076"/>
        <w:gridCol w:w="222"/>
        <w:gridCol w:w="222"/>
        <w:gridCol w:w="1220"/>
        <w:gridCol w:w="1200"/>
        <w:gridCol w:w="1180"/>
        <w:gridCol w:w="1180"/>
      </w:tblGrid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Ю.А. Лубенцов</w:t>
            </w:r>
          </w:p>
        </w:tc>
      </w:tr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61B5" w:rsidRPr="007661B5" w:rsidTr="0025129F">
        <w:trPr>
          <w:trHeight w:val="255"/>
        </w:trPr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61B5" w:rsidRPr="007661B5" w:rsidSect="000E1E9D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5. Дополнить План приложением следующего содержания:</w:t>
      </w:r>
    </w:p>
    <w:p w:rsidR="007661B5" w:rsidRPr="007661B5" w:rsidRDefault="007661B5" w:rsidP="007661B5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</w:t>
      </w:r>
    </w:p>
    <w:p w:rsidR="007661B5" w:rsidRPr="007661B5" w:rsidRDefault="007661B5" w:rsidP="007661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к Плану мероприятий («дорожной карты»)</w:t>
      </w:r>
    </w:p>
    <w:p w:rsidR="007661B5" w:rsidRPr="007661B5" w:rsidRDefault="007661B5" w:rsidP="007661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«Изменения в отраслях социальной сферы,</w:t>
      </w:r>
    </w:p>
    <w:p w:rsidR="007661B5" w:rsidRPr="007661B5" w:rsidRDefault="007661B5" w:rsidP="007661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направленные на повышение эффективности</w:t>
      </w:r>
    </w:p>
    <w:p w:rsidR="007661B5" w:rsidRPr="007661B5" w:rsidRDefault="007661B5" w:rsidP="007661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сферы культуры в городе Новошахтинске»</w:t>
      </w:r>
    </w:p>
    <w:p w:rsidR="007661B5" w:rsidRPr="007661B5" w:rsidRDefault="007661B5" w:rsidP="007661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</w:p>
    <w:p w:rsidR="007661B5" w:rsidRPr="007661B5" w:rsidRDefault="007661B5" w:rsidP="007661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1B5">
        <w:rPr>
          <w:rFonts w:ascii="Arial" w:eastAsia="Times New Roman" w:hAnsi="Arial" w:cs="Arial"/>
          <w:sz w:val="24"/>
          <w:szCs w:val="24"/>
          <w:lang w:eastAsia="ru-RU"/>
        </w:rPr>
        <w:t>нормативов муниципальной «дорожной карты»</w:t>
      </w: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62"/>
        <w:gridCol w:w="1205"/>
        <w:gridCol w:w="1205"/>
        <w:gridCol w:w="1050"/>
        <w:gridCol w:w="1134"/>
        <w:gridCol w:w="1218"/>
        <w:gridCol w:w="1218"/>
        <w:gridCol w:w="1139"/>
        <w:gridCol w:w="1218"/>
        <w:gridCol w:w="1218"/>
      </w:tblGrid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2012 год, факт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2013 год, факт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2015 год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2017 год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2018 год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2014 год-2016 год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2013 год-2018 год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267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262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Число получателей услуг (человек)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110 400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109 800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110 500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109 300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109 100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109 100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109 100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267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262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Численность населения города Новошахтинска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110 400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109 800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110 500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109 300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109 100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109 100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109 100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 xml:space="preserve">По Программе поэтапного совершенствования систем оплаты труда в государственных (муниципальных) учреждениях на 2012-2018 годы (процентов) 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53,0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65,0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74,0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85,0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56,1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64,9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73,7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82,4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91,2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По городу Новошахтинск (процентов)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65,1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74,3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82,4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lastRenderedPageBreak/>
              <w:t>9.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Средняя заработная плата по Ростовской области (рублей)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19 444,1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21 616,6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23 735,03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 xml:space="preserve"> 25 776,24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28 147,65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31 018,7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34 027,5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111,0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109,0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10 720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11 572,9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15 452,0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19 152,0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23 194,0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31 019,0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34 028,0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134,0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124,0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121,0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134,0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Размер начислений на фонд оплаты труда (процентов)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1,302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Фонд оплаты труда с начислениями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44 719,6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47 373,5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57 941,3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71 815,4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86 971,9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116 313,8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127 596,8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216 728,6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508 012,7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Прирост фонда оплаты труда с начислениями по отношению к 2013 году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2 653,9*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10 567,8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13 874,1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15 156,5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29 341,9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11 283,0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39 598,4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82 877,2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За счет средств консолидированного бюджета Ростовской области, включая дотацию из федерального бюджета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2 388,5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9 511,0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12 486,7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13 640,9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26 407,7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10 154,7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35 638,6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74 589,5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Включая средства, полученные за счет проведения мероприятий по оптимизации (млн. рублей), из них: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1,63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1,66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1,69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1,73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1,76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От реструктуризации сети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От оптимизации численности персонала, в том числе административно-управленческого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1,53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1,56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1,59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1,63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1,66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От сокращения и оптимизации расходов на содержание учреждений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23.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За счет средств от приносящей доход деятельности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265,4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1 056,8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1 387,4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1 515,6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2 934,2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1 128,3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3 959,8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8 287,7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 xml:space="preserve">За счет иных источников (решений), </w:t>
            </w:r>
            <w:r w:rsidRPr="007661B5">
              <w:rPr>
                <w:rFonts w:ascii="Arial" w:eastAsia="Times New Roman" w:hAnsi="Arial" w:cs="Arial"/>
                <w:lang w:eastAsia="ru-RU"/>
              </w:rPr>
              <w:lastRenderedPageBreak/>
              <w:t>включая корректировку консолидированного бюджета города Новошахтинска на соответствующий год (млн. рублей)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lastRenderedPageBreak/>
              <w:t>25.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Итого, объем средств, предусмотренный на повышение оплаты труда (млн. рублей)   (стр. 18+23+24)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2 653,9*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10 567,8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13 874,1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15 156,5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29 341,9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11 283,0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39 598,4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82 877,2</w:t>
            </w:r>
          </w:p>
        </w:tc>
      </w:tr>
      <w:tr w:rsidR="007661B5" w:rsidRPr="007661B5" w:rsidTr="0025129F">
        <w:tc>
          <w:tcPr>
            <w:tcW w:w="5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4462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 (процентов) (стр.19/стр.25*100%)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0,005</w:t>
            </w:r>
          </w:p>
        </w:tc>
        <w:tc>
          <w:tcPr>
            <w:tcW w:w="1139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0,01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0,004</w:t>
            </w:r>
          </w:p>
        </w:tc>
        <w:tc>
          <w:tcPr>
            <w:tcW w:w="1218" w:type="dxa"/>
            <w:shd w:val="clear" w:color="auto" w:fill="auto"/>
          </w:tcPr>
          <w:p w:rsidR="007661B5" w:rsidRPr="007661B5" w:rsidRDefault="007661B5" w:rsidP="007661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61B5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</w:tr>
    </w:tbl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5076"/>
        <w:gridCol w:w="222"/>
        <w:gridCol w:w="222"/>
        <w:gridCol w:w="1220"/>
        <w:gridCol w:w="1200"/>
        <w:gridCol w:w="1180"/>
        <w:gridCol w:w="6204"/>
      </w:tblGrid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Ю.А. Лубенцов</w:t>
            </w:r>
          </w:p>
        </w:tc>
      </w:tr>
      <w:tr w:rsidR="007661B5" w:rsidRPr="007661B5" w:rsidTr="0025129F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1B5" w:rsidRPr="007661B5" w:rsidRDefault="007661B5" w:rsidP="00766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1B5" w:rsidRPr="007661B5" w:rsidRDefault="007661B5" w:rsidP="007661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73B84" w:rsidRDefault="00773B84"/>
    <w:sectPr w:rsidR="00773B84" w:rsidSect="002F24DB">
      <w:pgSz w:w="16840" w:h="11907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6" w:rsidRDefault="007661B5" w:rsidP="0090031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30C6" w:rsidRDefault="007661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6" w:rsidRPr="00846F6C" w:rsidRDefault="007661B5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1013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89E"/>
    <w:multiLevelType w:val="hybridMultilevel"/>
    <w:tmpl w:val="E2B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8B"/>
    <w:rsid w:val="003B688B"/>
    <w:rsid w:val="007661B5"/>
    <w:rsid w:val="007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1B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1B5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661B5"/>
  </w:style>
  <w:style w:type="paragraph" w:styleId="a3">
    <w:name w:val="header"/>
    <w:basedOn w:val="a"/>
    <w:link w:val="a4"/>
    <w:rsid w:val="0076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6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6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661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61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661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a">
    <w:name w:val="page number"/>
    <w:rsid w:val="007661B5"/>
  </w:style>
  <w:style w:type="paragraph" w:customStyle="1" w:styleId="12">
    <w:name w:val="Абзац списка1"/>
    <w:basedOn w:val="a"/>
    <w:rsid w:val="007661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1B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1B5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661B5"/>
  </w:style>
  <w:style w:type="paragraph" w:styleId="a3">
    <w:name w:val="header"/>
    <w:basedOn w:val="a"/>
    <w:link w:val="a4"/>
    <w:rsid w:val="0076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6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6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661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61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66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661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a">
    <w:name w:val="page number"/>
    <w:rsid w:val="007661B5"/>
  </w:style>
  <w:style w:type="paragraph" w:customStyle="1" w:styleId="12">
    <w:name w:val="Абзац списка1"/>
    <w:basedOn w:val="a"/>
    <w:rsid w:val="007661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D32ECD682B7BE19888FB8263C926518E8966FB104E5818A81315940PEn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3891</Words>
  <Characters>22185</Characters>
  <Application>Microsoft Office Word</Application>
  <DocSecurity>0</DocSecurity>
  <Lines>184</Lines>
  <Paragraphs>52</Paragraphs>
  <ScaleCrop>false</ScaleCrop>
  <Company/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2014-09-04T10:14:00Z</dcterms:created>
  <dcterms:modified xsi:type="dcterms:W3CDTF">2014-09-04T10:15:00Z</dcterms:modified>
</cp:coreProperties>
</file>